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4CA5" w14:textId="293C1187" w:rsidR="007F468A" w:rsidRDefault="007F468A" w:rsidP="007F468A">
      <w:pPr>
        <w:rPr>
          <w:rFonts w:ascii="Verdana" w:hAnsi="Verdana" w:cstheme="minorBidi"/>
          <w:b/>
          <w:bCs/>
          <w:u w:val="single"/>
        </w:rPr>
      </w:pPr>
      <w:r w:rsidRPr="007F468A">
        <w:rPr>
          <w:rFonts w:ascii="Verdana" w:hAnsi="Verdana" w:cstheme="minorBidi"/>
          <w:b/>
          <w:bCs/>
          <w:u w:val="single"/>
        </w:rPr>
        <w:t>Najbliższe nabory:</w:t>
      </w:r>
    </w:p>
    <w:p w14:paraId="0079402A" w14:textId="1D5049C4" w:rsidR="007F468A" w:rsidRDefault="007F468A" w:rsidP="007F468A">
      <w:pPr>
        <w:rPr>
          <w:rFonts w:ascii="Verdana" w:hAnsi="Verdana" w:cstheme="minorBidi"/>
          <w:b/>
          <w:bCs/>
          <w:u w:val="single"/>
        </w:rPr>
      </w:pPr>
    </w:p>
    <w:p w14:paraId="7874469B" w14:textId="342535DE" w:rsidR="0066451B" w:rsidRDefault="005759B6" w:rsidP="0066451B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Verdana" w:hAnsi="Verdana" w:cs="Arial"/>
          <w:color w:val="000000"/>
        </w:rPr>
      </w:pPr>
      <w:hyperlink r:id="rId5" w:history="1">
        <w:r w:rsidR="0066451B" w:rsidRPr="007F468A">
          <w:rPr>
            <w:rStyle w:val="Hipercze"/>
            <w:rFonts w:ascii="Verdana" w:hAnsi="Verdana" w:cs="Arial"/>
            <w:i/>
            <w:iCs/>
            <w:color w:val="EE3A28"/>
            <w:u w:val="none"/>
            <w:bdr w:val="none" w:sz="0" w:space="0" w:color="auto" w:frame="1"/>
          </w:rPr>
          <w:t>ERC Advanced Grant</w:t>
        </w:r>
      </w:hyperlink>
      <w:r w:rsidR="0066451B" w:rsidRPr="007F468A">
        <w:rPr>
          <w:rFonts w:ascii="Verdana" w:hAnsi="Verdana" w:cs="Arial"/>
          <w:color w:val="000000"/>
        </w:rPr>
        <w:t> –</w:t>
      </w:r>
      <w:r w:rsidR="0066451B">
        <w:rPr>
          <w:rFonts w:ascii="Verdana" w:hAnsi="Verdana" w:cs="Arial"/>
          <w:color w:val="000000"/>
        </w:rPr>
        <w:t xml:space="preserve"> </w:t>
      </w:r>
      <w:r w:rsidR="0066451B" w:rsidRPr="007F468A">
        <w:rPr>
          <w:rFonts w:ascii="Verdana" w:hAnsi="Verdana" w:cs="Arial"/>
          <w:color w:val="000000"/>
        </w:rPr>
        <w:t>22 maj 2025-28 sierpień 2025</w:t>
      </w:r>
    </w:p>
    <w:p w14:paraId="129066FC" w14:textId="77777777" w:rsidR="00196854" w:rsidRDefault="00196854" w:rsidP="00196854">
      <w:pPr>
        <w:pStyle w:val="Akapitzlist"/>
        <w:shd w:val="clear" w:color="auto" w:fill="FFFFFF"/>
        <w:ind w:left="360"/>
        <w:jc w:val="both"/>
        <w:rPr>
          <w:rFonts w:ascii="Verdana" w:hAnsi="Verdana" w:cs="Arial"/>
          <w:color w:val="000000"/>
        </w:rPr>
      </w:pPr>
    </w:p>
    <w:p w14:paraId="1A04B713" w14:textId="6FA8845A" w:rsidR="0066451B" w:rsidRPr="0066451B" w:rsidRDefault="005759B6" w:rsidP="0066451B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Verdana" w:hAnsi="Verdana" w:cs="Arial"/>
          <w:color w:val="000000"/>
        </w:rPr>
      </w:pPr>
      <w:hyperlink r:id="rId6" w:history="1">
        <w:r w:rsidR="0066451B" w:rsidRPr="007F468A">
          <w:rPr>
            <w:rStyle w:val="Hipercze"/>
            <w:rFonts w:ascii="Verdana" w:hAnsi="Verdana" w:cs="Arial"/>
            <w:i/>
            <w:iCs/>
            <w:color w:val="EE3A28"/>
            <w:u w:val="none"/>
            <w:bdr w:val="none" w:sz="0" w:space="0" w:color="auto" w:frame="1"/>
          </w:rPr>
          <w:t xml:space="preserve">ERC </w:t>
        </w:r>
        <w:proofErr w:type="spellStart"/>
        <w:r w:rsidR="0066451B">
          <w:rPr>
            <w:rStyle w:val="Hipercze"/>
            <w:rFonts w:ascii="Verdana" w:hAnsi="Verdana" w:cs="Arial"/>
            <w:i/>
            <w:iCs/>
            <w:color w:val="EE3A28"/>
            <w:u w:val="none"/>
            <w:bdr w:val="none" w:sz="0" w:space="0" w:color="auto" w:frame="1"/>
          </w:rPr>
          <w:t>Starting</w:t>
        </w:r>
        <w:proofErr w:type="spellEnd"/>
        <w:r w:rsidR="0066451B" w:rsidRPr="007F468A">
          <w:rPr>
            <w:rStyle w:val="Hipercze"/>
            <w:rFonts w:ascii="Verdana" w:hAnsi="Verdana" w:cs="Arial"/>
            <w:i/>
            <w:iCs/>
            <w:color w:val="EE3A28"/>
            <w:u w:val="none"/>
            <w:bdr w:val="none" w:sz="0" w:space="0" w:color="auto" w:frame="1"/>
          </w:rPr>
          <w:t xml:space="preserve"> Grant</w:t>
        </w:r>
      </w:hyperlink>
      <w:r w:rsidR="0066451B" w:rsidRPr="007F468A">
        <w:rPr>
          <w:rFonts w:ascii="Verdana" w:hAnsi="Verdana" w:cs="Arial"/>
          <w:color w:val="000000"/>
        </w:rPr>
        <w:t> –</w:t>
      </w:r>
      <w:r w:rsidR="0066451B">
        <w:rPr>
          <w:rFonts w:ascii="Verdana" w:hAnsi="Verdana" w:cs="Arial"/>
          <w:color w:val="000000"/>
        </w:rPr>
        <w:t xml:space="preserve"> oczekiwany lipiec</w:t>
      </w:r>
      <w:r w:rsidR="0066451B" w:rsidRPr="007F468A">
        <w:rPr>
          <w:rFonts w:ascii="Verdana" w:hAnsi="Verdana" w:cs="Arial"/>
          <w:color w:val="000000"/>
        </w:rPr>
        <w:t xml:space="preserve"> 2025 – </w:t>
      </w:r>
      <w:r w:rsidR="0066451B">
        <w:rPr>
          <w:rFonts w:ascii="Verdana" w:hAnsi="Verdana" w:cs="Arial"/>
          <w:color w:val="000000"/>
        </w:rPr>
        <w:t>listopad</w:t>
      </w:r>
      <w:r w:rsidR="0066451B" w:rsidRPr="007F468A">
        <w:rPr>
          <w:rFonts w:ascii="Verdana" w:hAnsi="Verdana" w:cs="Arial"/>
          <w:color w:val="000000"/>
        </w:rPr>
        <w:t xml:space="preserve"> </w:t>
      </w:r>
      <w:r w:rsidR="0066451B">
        <w:rPr>
          <w:rFonts w:ascii="Verdana" w:hAnsi="Verdana" w:cs="Arial"/>
          <w:color w:val="000000"/>
        </w:rPr>
        <w:t>2025</w:t>
      </w:r>
    </w:p>
    <w:p w14:paraId="04653674" w14:textId="1E41B73A" w:rsidR="007F468A" w:rsidRPr="007F468A" w:rsidRDefault="005759B6" w:rsidP="007F468A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Verdana" w:hAnsi="Verdana" w:cs="Arial"/>
          <w:color w:val="000000"/>
        </w:rPr>
      </w:pPr>
      <w:hyperlink r:id="rId7" w:history="1">
        <w:r w:rsidR="007F468A" w:rsidRPr="007F468A">
          <w:rPr>
            <w:rStyle w:val="Hipercze"/>
            <w:rFonts w:ascii="Verdana" w:hAnsi="Verdana" w:cs="Arial"/>
            <w:i/>
            <w:iCs/>
            <w:color w:val="EE3A28"/>
            <w:u w:val="none"/>
            <w:bdr w:val="none" w:sz="0" w:space="0" w:color="auto" w:frame="1"/>
          </w:rPr>
          <w:t xml:space="preserve">ERC </w:t>
        </w:r>
        <w:proofErr w:type="spellStart"/>
        <w:r w:rsidR="007F468A" w:rsidRPr="007F468A">
          <w:rPr>
            <w:rStyle w:val="Hipercze"/>
            <w:rFonts w:ascii="Verdana" w:hAnsi="Verdana" w:cs="Arial"/>
            <w:i/>
            <w:iCs/>
            <w:color w:val="EE3A28"/>
            <w:u w:val="none"/>
            <w:bdr w:val="none" w:sz="0" w:space="0" w:color="auto" w:frame="1"/>
          </w:rPr>
          <w:t>Consolidator</w:t>
        </w:r>
        <w:proofErr w:type="spellEnd"/>
        <w:r w:rsidR="007F468A" w:rsidRPr="007F468A">
          <w:rPr>
            <w:rStyle w:val="Hipercze"/>
            <w:rFonts w:ascii="Verdana" w:hAnsi="Verdana" w:cs="Arial"/>
            <w:i/>
            <w:iCs/>
            <w:color w:val="EE3A28"/>
            <w:u w:val="none"/>
            <w:bdr w:val="none" w:sz="0" w:space="0" w:color="auto" w:frame="1"/>
          </w:rPr>
          <w:t xml:space="preserve"> Grant</w:t>
        </w:r>
      </w:hyperlink>
      <w:r w:rsidR="007F468A" w:rsidRPr="007F468A">
        <w:rPr>
          <w:rFonts w:ascii="Verdana" w:hAnsi="Verdana" w:cs="Arial"/>
          <w:color w:val="000000"/>
        </w:rPr>
        <w:t> –</w:t>
      </w:r>
      <w:r w:rsidR="008517BA">
        <w:rPr>
          <w:rFonts w:ascii="Verdana" w:hAnsi="Verdana" w:cs="Arial"/>
          <w:color w:val="000000"/>
        </w:rPr>
        <w:t xml:space="preserve"> </w:t>
      </w:r>
      <w:r w:rsidR="0066451B">
        <w:rPr>
          <w:rFonts w:ascii="Verdana" w:hAnsi="Verdana" w:cs="Arial"/>
          <w:color w:val="000000"/>
        </w:rPr>
        <w:t xml:space="preserve">oczekiwany </w:t>
      </w:r>
      <w:r w:rsidR="007F468A" w:rsidRPr="007F468A">
        <w:rPr>
          <w:rFonts w:ascii="Verdana" w:hAnsi="Verdana" w:cs="Arial"/>
          <w:color w:val="000000"/>
        </w:rPr>
        <w:t xml:space="preserve">wrzesień 2025 – styczeń </w:t>
      </w:r>
      <w:r w:rsidR="0066451B">
        <w:rPr>
          <w:rFonts w:ascii="Verdana" w:hAnsi="Verdana" w:cs="Arial"/>
          <w:color w:val="000000"/>
        </w:rPr>
        <w:t>2026</w:t>
      </w:r>
    </w:p>
    <w:p w14:paraId="010EFFF4" w14:textId="77777777" w:rsidR="0066451B" w:rsidRPr="0066451B" w:rsidRDefault="007F468A" w:rsidP="0066451B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Verdana" w:hAnsi="Verdana" w:cs="Arial"/>
          <w:color w:val="000000"/>
        </w:rPr>
      </w:pPr>
      <w:r w:rsidRPr="008517BA">
        <w:rPr>
          <w:rStyle w:val="Hipercze"/>
          <w:rFonts w:ascii="Verdana" w:hAnsi="Verdana"/>
          <w:i/>
          <w:iCs/>
          <w:color w:val="EE3A28"/>
          <w:u w:val="none"/>
          <w:bdr w:val="none" w:sz="0" w:space="0" w:color="auto" w:frame="1"/>
        </w:rPr>
        <w:t xml:space="preserve">ERC </w:t>
      </w:r>
      <w:proofErr w:type="spellStart"/>
      <w:r w:rsidR="00D27D10" w:rsidRPr="008517BA">
        <w:rPr>
          <w:rStyle w:val="Hipercze"/>
          <w:rFonts w:ascii="Verdana" w:hAnsi="Verdana"/>
          <w:i/>
          <w:iCs/>
          <w:color w:val="EE3A28"/>
          <w:u w:val="none"/>
          <w:bdr w:val="none" w:sz="0" w:space="0" w:color="auto" w:frame="1"/>
        </w:rPr>
        <w:t>Synergy</w:t>
      </w:r>
      <w:proofErr w:type="spellEnd"/>
      <w:r w:rsidR="00D27D10" w:rsidRPr="008517BA">
        <w:rPr>
          <w:rStyle w:val="Hipercze"/>
          <w:rFonts w:ascii="Verdana" w:hAnsi="Verdana"/>
          <w:i/>
          <w:iCs/>
          <w:color w:val="EE3A28"/>
          <w:u w:val="none"/>
          <w:bdr w:val="none" w:sz="0" w:space="0" w:color="auto" w:frame="1"/>
        </w:rPr>
        <w:t xml:space="preserve"> </w:t>
      </w:r>
      <w:r w:rsidR="00D27D10" w:rsidRPr="008517BA">
        <w:rPr>
          <w:rStyle w:val="Hipercze"/>
          <w:rFonts w:ascii="Verdana" w:hAnsi="Verdana" w:cs="Arial"/>
          <w:i/>
          <w:iCs/>
          <w:color w:val="EE3A28"/>
          <w:u w:val="none"/>
          <w:bdr w:val="none" w:sz="0" w:space="0" w:color="auto" w:frame="1"/>
        </w:rPr>
        <w:t xml:space="preserve">Grant </w:t>
      </w:r>
      <w:r w:rsidR="00D27D10" w:rsidRPr="008517BA">
        <w:rPr>
          <w:color w:val="000000"/>
        </w:rPr>
        <w:t>–</w:t>
      </w:r>
      <w:r w:rsidR="008517BA">
        <w:rPr>
          <w:color w:val="000000"/>
        </w:rPr>
        <w:t xml:space="preserve"> </w:t>
      </w:r>
      <w:r w:rsidR="0066451B">
        <w:rPr>
          <w:rFonts w:ascii="Verdana" w:hAnsi="Verdana" w:cs="Arial"/>
          <w:color w:val="000000"/>
        </w:rPr>
        <w:t>oczekiwany lipiec</w:t>
      </w:r>
      <w:r w:rsidR="0066451B" w:rsidRPr="007F468A">
        <w:rPr>
          <w:rFonts w:ascii="Verdana" w:hAnsi="Verdana" w:cs="Arial"/>
          <w:color w:val="000000"/>
        </w:rPr>
        <w:t xml:space="preserve"> 2025 – </w:t>
      </w:r>
      <w:r w:rsidR="0066451B">
        <w:rPr>
          <w:rFonts w:ascii="Verdana" w:hAnsi="Verdana" w:cs="Arial"/>
          <w:color w:val="000000"/>
        </w:rPr>
        <w:t>listopad</w:t>
      </w:r>
      <w:r w:rsidR="0066451B" w:rsidRPr="007F468A">
        <w:rPr>
          <w:rFonts w:ascii="Verdana" w:hAnsi="Verdana" w:cs="Arial"/>
          <w:color w:val="000000"/>
        </w:rPr>
        <w:t xml:space="preserve"> </w:t>
      </w:r>
      <w:r w:rsidR="0066451B">
        <w:rPr>
          <w:rFonts w:ascii="Verdana" w:hAnsi="Verdana" w:cs="Arial"/>
          <w:color w:val="000000"/>
        </w:rPr>
        <w:t>2025</w:t>
      </w:r>
    </w:p>
    <w:p w14:paraId="6240892C" w14:textId="71450CF5" w:rsidR="007F468A" w:rsidRPr="008517BA" w:rsidRDefault="007F468A" w:rsidP="0066451B">
      <w:pPr>
        <w:pStyle w:val="Akapitzlist"/>
        <w:shd w:val="clear" w:color="auto" w:fill="FFFFFF"/>
        <w:ind w:left="360"/>
        <w:jc w:val="both"/>
        <w:rPr>
          <w:rStyle w:val="Hipercze"/>
          <w:i/>
          <w:iCs/>
          <w:color w:val="EE3A28"/>
          <w:u w:val="none"/>
          <w:bdr w:val="none" w:sz="0" w:space="0" w:color="auto" w:frame="1"/>
        </w:rPr>
      </w:pPr>
    </w:p>
    <w:p w14:paraId="75AA3D1E" w14:textId="77777777" w:rsidR="007F468A" w:rsidRDefault="007F468A" w:rsidP="007F468A">
      <w:pPr>
        <w:rPr>
          <w:rFonts w:ascii="Verdana" w:eastAsia="Times New Roman" w:hAnsi="Verdana" w:cs="Arial"/>
          <w:b/>
          <w:bCs/>
          <w:color w:val="424245"/>
          <w:u w:val="single"/>
          <w:lang w:eastAsia="pl-PL"/>
        </w:rPr>
      </w:pPr>
      <w:bookmarkStart w:id="0" w:name="_MailOriginal"/>
    </w:p>
    <w:p w14:paraId="1CFBCA93" w14:textId="77777777" w:rsidR="007F468A" w:rsidRDefault="007F468A" w:rsidP="007F468A">
      <w:pPr>
        <w:rPr>
          <w:rFonts w:ascii="Verdana" w:eastAsia="Times New Roman" w:hAnsi="Verdana" w:cs="Arial"/>
          <w:b/>
          <w:bCs/>
          <w:color w:val="424245"/>
          <w:u w:val="single"/>
          <w:lang w:eastAsia="pl-PL"/>
        </w:rPr>
      </w:pPr>
    </w:p>
    <w:tbl>
      <w:tblPr>
        <w:tblW w:w="144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2898"/>
        <w:gridCol w:w="2693"/>
        <w:gridCol w:w="3119"/>
        <w:gridCol w:w="3820"/>
      </w:tblGrid>
      <w:tr w:rsidR="00196854" w:rsidRPr="008517BA" w14:paraId="3582DC4B" w14:textId="77777777" w:rsidTr="00F3083A">
        <w:trPr>
          <w:trHeight w:val="824"/>
          <w:tblHeader/>
        </w:trPr>
        <w:tc>
          <w:tcPr>
            <w:tcW w:w="19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E7EAD" w14:textId="77777777" w:rsidR="00196854" w:rsidRPr="008517BA" w:rsidRDefault="00196854" w:rsidP="008517B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Kryterium</w:t>
            </w:r>
          </w:p>
        </w:tc>
        <w:tc>
          <w:tcPr>
            <w:tcW w:w="2898" w:type="dxa"/>
          </w:tcPr>
          <w:p w14:paraId="4529EDB1" w14:textId="432474FE" w:rsidR="00196854" w:rsidRPr="008517BA" w:rsidRDefault="00196854" w:rsidP="008517B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 xml:space="preserve">ERC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Starting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Grant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98FB" w14:textId="02DF220D" w:rsidR="00196854" w:rsidRPr="008517BA" w:rsidRDefault="00196854" w:rsidP="008517B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 xml:space="preserve">ERC </w:t>
            </w:r>
            <w:proofErr w:type="spellStart"/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Consolidator</w:t>
            </w:r>
            <w:proofErr w:type="spellEnd"/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 xml:space="preserve"> Grant</w:t>
            </w:r>
          </w:p>
        </w:tc>
        <w:tc>
          <w:tcPr>
            <w:tcW w:w="311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F7866" w14:textId="77777777" w:rsidR="00196854" w:rsidRPr="008517BA" w:rsidRDefault="00196854" w:rsidP="008517B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ERC Advanced Grant</w:t>
            </w:r>
          </w:p>
        </w:tc>
        <w:tc>
          <w:tcPr>
            <w:tcW w:w="382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AC921" w14:textId="77777777" w:rsidR="00196854" w:rsidRPr="008517BA" w:rsidRDefault="00196854" w:rsidP="008517B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 xml:space="preserve">ERC </w:t>
            </w:r>
            <w:proofErr w:type="spellStart"/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>Synergy</w:t>
            </w:r>
            <w:proofErr w:type="spellEnd"/>
            <w:r w:rsidRPr="008517BA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pl-PL"/>
              </w:rPr>
              <w:t xml:space="preserve"> Grant</w:t>
            </w:r>
          </w:p>
        </w:tc>
      </w:tr>
      <w:tr w:rsidR="00196854" w:rsidRPr="008517BA" w14:paraId="5E95C9BC" w14:textId="77777777" w:rsidTr="00F3083A">
        <w:trPr>
          <w:trHeight w:val="2360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849F2E6" w14:textId="4A0AFDCE" w:rsidR="00196854" w:rsidRPr="00196854" w:rsidRDefault="00196854" w:rsidP="008517B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196854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Adresaci</w:t>
            </w:r>
          </w:p>
        </w:tc>
        <w:tc>
          <w:tcPr>
            <w:tcW w:w="2898" w:type="dxa"/>
          </w:tcPr>
          <w:p w14:paraId="651147ED" w14:textId="7FF232E0" w:rsidR="00196854" w:rsidRPr="008517BA" w:rsidRDefault="00093C44" w:rsidP="00093C44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 </w:t>
            </w:r>
            <w:r w:rsidR="0019685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Naukowcy 2-7 lat po doktoracie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7F85099" w14:textId="74907624" w:rsidR="00196854" w:rsidRPr="008517BA" w:rsidRDefault="00196854" w:rsidP="00196854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Naukowcy 7–12 lat po doktoracie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C38DEEB" w14:textId="1AE7FEA5" w:rsidR="00196854" w:rsidRPr="008517BA" w:rsidRDefault="00196854" w:rsidP="008517BA">
            <w:pPr>
              <w:spacing w:before="240" w:after="240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N</w:t>
            </w:r>
            <w:r w:rsidRPr="00196854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aukowc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y</w:t>
            </w:r>
            <w:r w:rsidRPr="00196854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 doświadcz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eni</w:t>
            </w:r>
            <w:r w:rsidRPr="00196854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, o uznanym dorobku naukowym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CCC8EF9" w14:textId="5E6EE275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2–4 liderów naukowych (Principal 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Investigators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) z różnych dziedzin, niezależnie od stopnia naukowego, z dorobkiem odpowiadającym poziomowi 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Starting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, 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Consolidator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 lub Advanced Grant</w:t>
            </w:r>
          </w:p>
        </w:tc>
      </w:tr>
      <w:tr w:rsidR="00196854" w:rsidRPr="008517BA" w14:paraId="0933B994" w14:textId="77777777" w:rsidTr="00F3083A">
        <w:trPr>
          <w:trHeight w:val="615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36924FD" w14:textId="556BE6E6" w:rsidR="00196854" w:rsidRPr="00196854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196854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Cel grantu</w:t>
            </w:r>
          </w:p>
        </w:tc>
        <w:tc>
          <w:tcPr>
            <w:tcW w:w="2898" w:type="dxa"/>
          </w:tcPr>
          <w:p w14:paraId="3ED70D7F" w14:textId="755B6AB6" w:rsidR="00196854" w:rsidRPr="008517BA" w:rsidRDefault="00093C4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Segoe UI" w:hAnsi="Segoe UI" w:cs="Segoe UI"/>
              </w:rPr>
              <w:br/>
            </w:r>
            <w:r w:rsidR="00196854">
              <w:rPr>
                <w:rFonts w:ascii="Segoe UI" w:hAnsi="Segoe UI" w:cs="Segoe UI"/>
              </w:rPr>
              <w:t>Stworzenie pierwszego niezależnego zespołu lub programu badawczego i uzyskanie samodzielności naukowej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3BCC2C4" w14:textId="63012AE2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Konsolidacja niezależności naukowej, budowa lub wzmocnienie własnego zespołu badawczego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B88D6A2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Realizacja przełomowych, ambitnych i ryzykownych projektów przez uznanych liderów nauki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B9EE13D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Rozwiązywanie ambitnych, interdyscyplinarnych problemów badawczych wymagających współpracy 2–4 liderów i ich zespołów, niemożliwych do realizacji indywidualnie</w:t>
            </w:r>
          </w:p>
        </w:tc>
      </w:tr>
      <w:tr w:rsidR="00196854" w:rsidRPr="008517BA" w14:paraId="19FD1CC9" w14:textId="77777777" w:rsidTr="00F3083A">
        <w:trPr>
          <w:trHeight w:val="1636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0632322" w14:textId="77777777" w:rsidR="00196854" w:rsidRPr="008517BA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lastRenderedPageBreak/>
              <w:t>Wymagania dot. doświadczenia</w:t>
            </w:r>
          </w:p>
        </w:tc>
        <w:tc>
          <w:tcPr>
            <w:tcW w:w="2898" w:type="dxa"/>
          </w:tcPr>
          <w:p w14:paraId="2421FA3B" w14:textId="77777777" w:rsidR="00F3083A" w:rsidRDefault="00F3083A" w:rsidP="0007500B">
            <w:pPr>
              <w:spacing w:before="240" w:after="240"/>
              <w:ind w:left="192"/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216769AB" w14:textId="77777777" w:rsidR="00F3083A" w:rsidRDefault="00F3083A" w:rsidP="0007500B">
            <w:pPr>
              <w:spacing w:before="240" w:after="240"/>
              <w:ind w:left="192"/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00BEAD90" w14:textId="46896EAB" w:rsidR="00196854" w:rsidRPr="008517BA" w:rsidRDefault="00F3083A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 xml:space="preserve">2-7 lat </w:t>
            </w: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od uzyskania stopnia doktora (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PhD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64783F4" w14:textId="5B2DA278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7–12 lat od uzyskania stopnia doktora (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PhD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09DEEBF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Brak formalnych ograniczeń dot. lat po doktoracie; wymagany wybitny dorobek z ostatnich 10 lat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5DCFDB0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Brak specyficznych wymagań co do lat po doktoracie; ważny dorobek dostosowany do poziomu 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Starting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, 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Consolidator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 lub Advanced Grant</w:t>
            </w:r>
          </w:p>
        </w:tc>
      </w:tr>
      <w:tr w:rsidR="00196854" w:rsidRPr="008517BA" w14:paraId="5C8C62B8" w14:textId="77777777" w:rsidTr="00F3083A">
        <w:trPr>
          <w:trHeight w:val="1605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E460850" w14:textId="77777777" w:rsidR="00196854" w:rsidRPr="00F3083A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Wysokość finansowania</w:t>
            </w:r>
          </w:p>
        </w:tc>
        <w:tc>
          <w:tcPr>
            <w:tcW w:w="2898" w:type="dxa"/>
          </w:tcPr>
          <w:p w14:paraId="35521F21" w14:textId="77777777" w:rsidR="00F3083A" w:rsidRDefault="00F3083A" w:rsidP="0007500B">
            <w:pPr>
              <w:spacing w:before="240" w:after="240"/>
              <w:ind w:left="192"/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7D01E6C2" w14:textId="4D446ADB" w:rsidR="00196854" w:rsidRPr="008517BA" w:rsidRDefault="00F3083A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 xml:space="preserve">Do 1,5 mln euro </w:t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(+ do 1 mln euro na dodatkowe koszty)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FB9AEDD" w14:textId="54C43424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Do 2 mln euro </w:t>
            </w:r>
            <w:r w:rsidR="00F3083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br/>
            </w: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(+ do 1 mln euro na dodatkowe koszty)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1765145" w14:textId="0611281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Do 2,5 mln euro (+ do 1 mln euro na dodatkowe koszty)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31876A6" w14:textId="5B3BBA1E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Do 10 mln euro </w:t>
            </w:r>
            <w:r w:rsidR="00F3083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br/>
            </w: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(możliwość dodatkowych 4 mln euro na sprzęt, start-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up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 itp.)</w:t>
            </w:r>
          </w:p>
        </w:tc>
      </w:tr>
      <w:tr w:rsidR="00196854" w:rsidRPr="008517BA" w14:paraId="6919D14A" w14:textId="77777777" w:rsidTr="00F3083A">
        <w:trPr>
          <w:trHeight w:val="1066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0B41154" w14:textId="77777777" w:rsidR="00196854" w:rsidRPr="00F3083A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Czas trwania projektu</w:t>
            </w:r>
          </w:p>
        </w:tc>
        <w:tc>
          <w:tcPr>
            <w:tcW w:w="2898" w:type="dxa"/>
          </w:tcPr>
          <w:p w14:paraId="1D7C8699" w14:textId="77777777" w:rsidR="00F3083A" w:rsidRDefault="00F3083A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</w:p>
          <w:p w14:paraId="5DFB655A" w14:textId="1447B1CB" w:rsidR="00196854" w:rsidRPr="008517BA" w:rsidRDefault="00F3083A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Do 5 lat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7097DE2" w14:textId="4CFE9733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Do 5 lat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22F340B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Do 5 lat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7EC8E3F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Do 6 lat</w:t>
            </w:r>
          </w:p>
        </w:tc>
      </w:tr>
      <w:tr w:rsidR="00196854" w:rsidRPr="008517BA" w14:paraId="617BC279" w14:textId="77777777" w:rsidTr="00F3083A">
        <w:trPr>
          <w:trHeight w:val="1317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E7EEBE3" w14:textId="77777777" w:rsidR="00196854" w:rsidRPr="00F3083A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Profil naukowca</w:t>
            </w:r>
          </w:p>
        </w:tc>
        <w:tc>
          <w:tcPr>
            <w:tcW w:w="2898" w:type="dxa"/>
          </w:tcPr>
          <w:p w14:paraId="204C4C30" w14:textId="4785ABD9" w:rsidR="00196854" w:rsidRPr="008517BA" w:rsidRDefault="00F3083A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93C44"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093C44"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 xml:space="preserve">Początkujący </w:t>
            </w:r>
            <w:r w:rsidR="00093C44"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>naukowiec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62C1B71" w14:textId="106C2822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Obiecujący badacz konsolidujący niezależność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5256576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Wybitny naukowiec o międzynarodowej renomie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6B24E89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Grupa 2–4 liderów z uzupełniającymi się kompetencjami i zespołami</w:t>
            </w:r>
          </w:p>
        </w:tc>
      </w:tr>
      <w:tr w:rsidR="00196854" w:rsidRPr="008517BA" w14:paraId="61AF65DC" w14:textId="77777777" w:rsidTr="00F3083A">
        <w:trPr>
          <w:trHeight w:val="1605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3E07A97" w14:textId="77777777" w:rsidR="00196854" w:rsidRPr="00F3083A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Rodzaj projektu</w:t>
            </w:r>
          </w:p>
        </w:tc>
        <w:tc>
          <w:tcPr>
            <w:tcW w:w="2898" w:type="dxa"/>
          </w:tcPr>
          <w:p w14:paraId="4AC3B17B" w14:textId="2E64FA52" w:rsidR="00196854" w:rsidRPr="008517BA" w:rsidRDefault="00093C44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br/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br/>
            </w: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Przełomowy, ambitny, wykonalny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5CBDC81" w14:textId="2A138AE1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Przełomowy, ambitny, wykonalny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8D71F0C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Przełomowy, ambitny, wysokiego ryzyka i potencjalnie wysokiego zysku naukowego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FCEF590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Ambitny, interdyscyplinarny, wymagający synergii zespołów</w:t>
            </w:r>
          </w:p>
        </w:tc>
      </w:tr>
      <w:tr w:rsidR="00196854" w:rsidRPr="008517BA" w14:paraId="046017B7" w14:textId="77777777" w:rsidTr="00093C44">
        <w:trPr>
          <w:trHeight w:val="1137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0E38CE1" w14:textId="77777777" w:rsidR="00196854" w:rsidRPr="00F3083A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 xml:space="preserve">Host </w:t>
            </w:r>
            <w:proofErr w:type="spellStart"/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institution</w:t>
            </w:r>
            <w:proofErr w:type="spellEnd"/>
          </w:p>
        </w:tc>
        <w:tc>
          <w:tcPr>
            <w:tcW w:w="2898" w:type="dxa"/>
          </w:tcPr>
          <w:p w14:paraId="51CDF45C" w14:textId="77777777" w:rsidR="00093C44" w:rsidRDefault="00093C44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</w:p>
          <w:p w14:paraId="54C93B23" w14:textId="246F02DF" w:rsidR="00196854" w:rsidRPr="008517BA" w:rsidRDefault="00093C44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Instytucja w UE lub kraju stowarzyszonym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4A0530D" w14:textId="507C8A0F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Instytucja w UE lub kraju stowarzyszonym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59F0639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Instytucja w UE lub kraju stowarzyszonym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0BE6CC8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Jedna lub kilka instytucji w UE lub krajach stowarzyszonych; każdy PI może być w innej instytucji</w:t>
            </w:r>
          </w:p>
        </w:tc>
      </w:tr>
      <w:tr w:rsidR="00196854" w:rsidRPr="008517BA" w14:paraId="5765AA04" w14:textId="77777777" w:rsidTr="00F3083A">
        <w:trPr>
          <w:trHeight w:val="1593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57A7FE6" w14:textId="77777777" w:rsidR="00196854" w:rsidRPr="00F3083A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Zasady finansowania</w:t>
            </w:r>
          </w:p>
        </w:tc>
        <w:tc>
          <w:tcPr>
            <w:tcW w:w="2898" w:type="dxa"/>
          </w:tcPr>
          <w:p w14:paraId="4A42E832" w14:textId="06A2BD52" w:rsidR="00196854" w:rsidRPr="00CD3971" w:rsidRDefault="00CD3971" w:rsidP="0007500B">
            <w:pPr>
              <w:shd w:val="clear" w:color="auto" w:fill="FFFFFF"/>
              <w:spacing w:before="92"/>
              <w:ind w:left="192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</w:pP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Koszty osobowe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>, z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akupy aparatury i usług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szkolenia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>, w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yjazdy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podwykonawstwo, czyli zlecenia zewnętrzne, publikacja i rozpowszechnianie wyników badań, koszty pośrednie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F0BB83D" w14:textId="77777777" w:rsidR="00CD3971" w:rsidRPr="00D26258" w:rsidRDefault="00CD3971" w:rsidP="00CD3971">
            <w:pPr>
              <w:shd w:val="clear" w:color="auto" w:fill="FFFFFF"/>
              <w:spacing w:before="92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</w:pP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Koszty osobowe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>, z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akupy aparatury i usług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szkolenia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>, w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yjazdy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podwykonawstwo, czyli zlecenia zewnętrzne, publikacja i rozpowszechnianie wyników badań, koszty pośrednie</w:t>
            </w:r>
          </w:p>
          <w:p w14:paraId="77899223" w14:textId="7FA88538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3B84505" w14:textId="0EA5B879" w:rsidR="00196854" w:rsidRPr="00CD3971" w:rsidRDefault="00CD3971" w:rsidP="00CD3971">
            <w:pPr>
              <w:shd w:val="clear" w:color="auto" w:fill="FFFFFF"/>
              <w:spacing w:before="92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</w:pP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Koszty osobowe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>, z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akupy aparatury i usług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szkolenia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>, w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yjazdy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podwykonawstwo, czyli zlecenia zewnętrzne, publikacja i rozpowszechnianie wyników badań, koszty pośrednie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F3CB7D7" w14:textId="7088C1C0" w:rsidR="00196854" w:rsidRPr="008517BA" w:rsidRDefault="00CD3971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Koszty osobowe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>, z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akupy aparatury i usług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szkolenia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>, w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yjazdy</w:t>
            </w:r>
            <w:r w:rsidRPr="00D26258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26258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  <w:lang w:eastAsia="pl-PL"/>
              </w:rPr>
              <w:t>podwykonawstwo, czyli zlecenia zewnętrzne, publikacja i rozpowszechnianie wyników badań, koszty pośrednie</w:t>
            </w:r>
          </w:p>
        </w:tc>
      </w:tr>
      <w:tr w:rsidR="00196854" w:rsidRPr="008517BA" w14:paraId="368B1BC4" w14:textId="77777777" w:rsidTr="00F3083A">
        <w:trPr>
          <w:trHeight w:val="1317"/>
        </w:trPr>
        <w:tc>
          <w:tcPr>
            <w:tcW w:w="1922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2383F7B" w14:textId="77777777" w:rsidR="00196854" w:rsidRPr="00F3083A" w:rsidRDefault="00196854" w:rsidP="00F3083A">
            <w:pPr>
              <w:spacing w:before="240" w:after="240"/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</w:pPr>
            <w:r w:rsidRPr="00F3083A">
              <w:rPr>
                <w:rFonts w:ascii="Segoe UI" w:eastAsia="Times New Roman" w:hAnsi="Segoe UI" w:cs="Segoe UI"/>
                <w:b/>
                <w:sz w:val="21"/>
                <w:szCs w:val="21"/>
                <w:lang w:eastAsia="pl-PL"/>
              </w:rPr>
              <w:t>Wymogi aplikacyjne</w:t>
            </w:r>
          </w:p>
        </w:tc>
        <w:tc>
          <w:tcPr>
            <w:tcW w:w="2898" w:type="dxa"/>
          </w:tcPr>
          <w:p w14:paraId="4076CD60" w14:textId="00607C35" w:rsidR="00196854" w:rsidRPr="008517BA" w:rsidRDefault="0007500B" w:rsidP="0007500B">
            <w:pPr>
              <w:spacing w:before="240" w:after="240"/>
              <w:ind w:left="192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br/>
            </w:r>
            <w:r w:rsidR="00CD3971"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Indywidualny wniosek</w:t>
            </w:r>
            <w:r w:rsidR="00CD3971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 </w:t>
            </w:r>
            <w:r w:rsidR="00CD3971"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naukowca</w:t>
            </w:r>
          </w:p>
        </w:tc>
        <w:tc>
          <w:tcPr>
            <w:tcW w:w="269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2E83E54" w14:textId="03D293A5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Indywidualny wniosek naukowca</w:t>
            </w:r>
          </w:p>
        </w:tc>
        <w:tc>
          <w:tcPr>
            <w:tcW w:w="3119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2AC050A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Indywidualny wniosek naukowca</w:t>
            </w:r>
          </w:p>
        </w:tc>
        <w:tc>
          <w:tcPr>
            <w:tcW w:w="3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C4A3976" w14:textId="77777777" w:rsidR="00196854" w:rsidRPr="008517BA" w:rsidRDefault="00196854" w:rsidP="008517BA">
            <w:pPr>
              <w:spacing w:before="240" w:after="240"/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</w:pPr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Wniosek grupowy składany przez </w:t>
            </w:r>
            <w:proofErr w:type="spellStart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>Corresponding</w:t>
            </w:r>
            <w:proofErr w:type="spellEnd"/>
            <w:r w:rsidRPr="008517BA">
              <w:rPr>
                <w:rFonts w:ascii="Segoe UI" w:eastAsia="Times New Roman" w:hAnsi="Segoe UI" w:cs="Segoe UI"/>
                <w:sz w:val="21"/>
                <w:szCs w:val="21"/>
                <w:lang w:eastAsia="pl-PL"/>
              </w:rPr>
              <w:t xml:space="preserve"> PI w imieniu zespołu 2–4 naukowców</w:t>
            </w:r>
          </w:p>
        </w:tc>
      </w:tr>
    </w:tbl>
    <w:p w14:paraId="7DD0AC27" w14:textId="77777777" w:rsidR="007F468A" w:rsidRDefault="007F468A" w:rsidP="007F468A">
      <w:pPr>
        <w:rPr>
          <w:rFonts w:ascii="Verdana" w:eastAsia="Times New Roman" w:hAnsi="Verdana" w:cs="Arial"/>
          <w:b/>
          <w:bCs/>
          <w:color w:val="424245"/>
          <w:u w:val="single"/>
          <w:lang w:eastAsia="pl-PL"/>
        </w:rPr>
      </w:pPr>
    </w:p>
    <w:p w14:paraId="673B9BC1" w14:textId="77777777" w:rsidR="007F468A" w:rsidRDefault="007F468A" w:rsidP="007F468A">
      <w:pPr>
        <w:pBdr>
          <w:bottom w:val="single" w:sz="6" w:space="1" w:color="auto"/>
        </w:pBdr>
        <w:rPr>
          <w:rFonts w:ascii="Verdana" w:eastAsia="Times New Roman" w:hAnsi="Verdana" w:cs="Arial"/>
          <w:b/>
          <w:bCs/>
          <w:color w:val="424245"/>
          <w:u w:val="single"/>
          <w:lang w:eastAsia="pl-PL"/>
        </w:rPr>
      </w:pPr>
    </w:p>
    <w:p w14:paraId="2DCD72DB" w14:textId="77777777" w:rsidR="007F468A" w:rsidRDefault="007F468A" w:rsidP="007F468A">
      <w:pPr>
        <w:rPr>
          <w:rFonts w:ascii="Verdana" w:eastAsia="Times New Roman" w:hAnsi="Verdana" w:cs="Arial"/>
          <w:b/>
          <w:bCs/>
          <w:color w:val="424245"/>
          <w:u w:val="single"/>
          <w:lang w:eastAsia="pl-PL"/>
        </w:rPr>
      </w:pPr>
    </w:p>
    <w:bookmarkEnd w:id="0"/>
    <w:p w14:paraId="66501E53" w14:textId="77777777" w:rsidR="00360EBC" w:rsidRPr="007F468A" w:rsidRDefault="00360EBC">
      <w:pPr>
        <w:rPr>
          <w:rFonts w:ascii="Verdana" w:hAnsi="Verdana"/>
        </w:rPr>
      </w:pPr>
    </w:p>
    <w:sectPr w:rsidR="00360EBC" w:rsidRPr="007F468A" w:rsidSect="001968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E46"/>
    <w:multiLevelType w:val="hybridMultilevel"/>
    <w:tmpl w:val="396AF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C6534"/>
    <w:multiLevelType w:val="hybridMultilevel"/>
    <w:tmpl w:val="7010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216A3"/>
    <w:multiLevelType w:val="hybridMultilevel"/>
    <w:tmpl w:val="019E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7C53"/>
    <w:multiLevelType w:val="hybridMultilevel"/>
    <w:tmpl w:val="B8A4109A"/>
    <w:lvl w:ilvl="0" w:tplc="3FB42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449DB"/>
    <w:multiLevelType w:val="hybridMultilevel"/>
    <w:tmpl w:val="BF20E8B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jRjNzU0NmQtNDZmYy00ZWU1LTk3ZTgtZTg4ZTE0OGM5MDIxIg0KfQ=="/>
    <w:docVar w:name="GVData0" w:val="(end)"/>
  </w:docVars>
  <w:rsids>
    <w:rsidRoot w:val="007F468A"/>
    <w:rsid w:val="0007500B"/>
    <w:rsid w:val="000922F3"/>
    <w:rsid w:val="00093C44"/>
    <w:rsid w:val="00196854"/>
    <w:rsid w:val="00360EBC"/>
    <w:rsid w:val="00532D4D"/>
    <w:rsid w:val="005759B6"/>
    <w:rsid w:val="00602E14"/>
    <w:rsid w:val="00643B7E"/>
    <w:rsid w:val="0066451B"/>
    <w:rsid w:val="006C6597"/>
    <w:rsid w:val="007F468A"/>
    <w:rsid w:val="008517BA"/>
    <w:rsid w:val="00CD3971"/>
    <w:rsid w:val="00D27D10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90B"/>
  <w15:chartTrackingRefBased/>
  <w15:docId w15:val="{6E5E31DB-3EED-43EA-93ED-C3CB38C0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68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46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F468A"/>
    <w:pPr>
      <w:ind w:left="720"/>
    </w:pPr>
  </w:style>
  <w:style w:type="character" w:styleId="Pogrubienie">
    <w:name w:val="Strong"/>
    <w:basedOn w:val="Domylnaczcionkaakapitu"/>
    <w:uiPriority w:val="22"/>
    <w:qFormat/>
    <w:rsid w:val="008517B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7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7BA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7BA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k.gov.pl/horyzont-europa/excelence-science/erc-frontier-research/consolidator-g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k.gov.pl/horyzont-europa/excelence-science/erc-frontier-research/consolidator-grant" TargetMode="External"/><Relationship Id="rId5" Type="http://schemas.openxmlformats.org/officeDocument/2006/relationships/hyperlink" Target="https://www.kpk.gov.pl/horyzont-europa/excelence-science/erc-frontier-research/advanced-gra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2849</Characters>
  <Application>Microsoft Office Word</Application>
  <DocSecurity>0</DocSecurity>
  <Lines>174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Pilot</dc:creator>
  <cp:keywords/>
  <dc:description/>
  <cp:lastModifiedBy>Magdalena Pilot</cp:lastModifiedBy>
  <cp:revision>3</cp:revision>
  <dcterms:created xsi:type="dcterms:W3CDTF">2025-04-24T07:46:00Z</dcterms:created>
  <dcterms:modified xsi:type="dcterms:W3CDTF">2025-06-10T11:27:00Z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ew0KICAiZG9jSUQiOiAiZjRjNzU0NmQtNDZmYy00ZWU1LTk3ZTgtZTg4ZTE0OGM5MDIxIg0KfQ==</vt:lpwstr>
  </property>
  <property fmtid="{D5CDD505-2E9C-101B-9397-08002B2CF9AE}" pid="3" name="GVData0">
    <vt:lpwstr>(end)</vt:lpwstr>
  </property>
</Properties>
</file>