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2CE6" w14:textId="77777777" w:rsidR="000204A2" w:rsidRPr="008F3887" w:rsidRDefault="00231157" w:rsidP="008F3887">
      <w:pPr>
        <w:pStyle w:val="Tytu"/>
        <w:spacing w:before="240" w:after="240"/>
        <w:rPr>
          <w:rFonts w:ascii="Verdana" w:hAnsi="Verdana"/>
          <w:sz w:val="22"/>
          <w:szCs w:val="22"/>
        </w:rPr>
      </w:pPr>
      <w:r w:rsidRPr="008F3887">
        <w:rPr>
          <w:rFonts w:ascii="Verdana" w:hAnsi="Verdana"/>
          <w:sz w:val="22"/>
          <w:szCs w:val="22"/>
        </w:rPr>
        <w:t>Porozumienie</w:t>
      </w:r>
    </w:p>
    <w:p w14:paraId="07B75617" w14:textId="1CC837F7" w:rsidR="00231157" w:rsidRPr="008F3887" w:rsidRDefault="00231157" w:rsidP="008F3887">
      <w:pPr>
        <w:spacing w:before="240" w:after="240" w:line="360" w:lineRule="auto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Zawarte</w:t>
      </w:r>
      <w:r w:rsidR="00562C0A" w:rsidRPr="008F3887">
        <w:rPr>
          <w:rFonts w:ascii="Verdana" w:hAnsi="Verdana" w:cs="Times New Roman"/>
        </w:rPr>
        <w:t xml:space="preserve"> dnia</w:t>
      </w:r>
      <w:r w:rsidR="004B36DD" w:rsidRPr="008F3887">
        <w:rPr>
          <w:rFonts w:ascii="Verdana" w:hAnsi="Verdana" w:cs="Times New Roman"/>
        </w:rPr>
        <w:t xml:space="preserve"> 29 mar</w:t>
      </w:r>
      <w:r w:rsidR="000F157F" w:rsidRPr="008F3887">
        <w:rPr>
          <w:rFonts w:ascii="Verdana" w:hAnsi="Verdana" w:cs="Times New Roman"/>
        </w:rPr>
        <w:t>ca</w:t>
      </w:r>
      <w:r w:rsidR="004B36DD" w:rsidRPr="008F3887">
        <w:rPr>
          <w:rFonts w:ascii="Verdana" w:hAnsi="Verdana" w:cs="Times New Roman"/>
        </w:rPr>
        <w:t xml:space="preserve"> 2023 roku </w:t>
      </w:r>
      <w:r w:rsidRPr="008F3887">
        <w:rPr>
          <w:rFonts w:ascii="Verdana" w:hAnsi="Verdana" w:cs="Times New Roman"/>
        </w:rPr>
        <w:t xml:space="preserve">pomiędzy Rektorem Uniwersytetu Śląskiego </w:t>
      </w:r>
      <w:r w:rsidR="00FD4B5C" w:rsidRPr="008F3887">
        <w:rPr>
          <w:rFonts w:ascii="Verdana" w:hAnsi="Verdana" w:cs="Times New Roman"/>
        </w:rPr>
        <w:t>w Katowicach</w:t>
      </w:r>
      <w:r w:rsidR="00784278" w:rsidRPr="008F3887">
        <w:rPr>
          <w:rFonts w:ascii="Verdana" w:hAnsi="Verdana" w:cs="Times New Roman"/>
        </w:rPr>
        <w:t>, a</w:t>
      </w:r>
      <w:r w:rsidR="004B36DD" w:rsidRPr="008F3887">
        <w:rPr>
          <w:rFonts w:ascii="Verdana" w:hAnsi="Verdana" w:cs="Times New Roman"/>
        </w:rPr>
        <w:t> </w:t>
      </w:r>
      <w:r w:rsidR="00784278" w:rsidRPr="008F3887">
        <w:rPr>
          <w:rFonts w:ascii="Verdana" w:hAnsi="Verdana" w:cs="Times New Roman"/>
        </w:rPr>
        <w:t xml:space="preserve">działającymi w Uczelni związkami zawodowymi: Związkiem Nauczycielstwa Polskiego </w:t>
      </w:r>
      <w:r w:rsidR="00C029BE" w:rsidRPr="008F3887">
        <w:rPr>
          <w:rFonts w:ascii="Verdana" w:hAnsi="Verdana" w:cs="Times New Roman"/>
        </w:rPr>
        <w:t>w</w:t>
      </w:r>
      <w:r w:rsidR="004B36DD" w:rsidRPr="008F3887">
        <w:rPr>
          <w:rFonts w:ascii="Verdana" w:hAnsi="Verdana" w:cs="Times New Roman"/>
        </w:rPr>
        <w:t> </w:t>
      </w:r>
      <w:r w:rsidR="00C029BE" w:rsidRPr="008F3887">
        <w:rPr>
          <w:rFonts w:ascii="Verdana" w:hAnsi="Verdana" w:cs="Times New Roman"/>
        </w:rPr>
        <w:t xml:space="preserve">Uniwersytecie Śląskim </w:t>
      </w:r>
      <w:r w:rsidR="00784278" w:rsidRPr="008F3887">
        <w:rPr>
          <w:rFonts w:ascii="Verdana" w:hAnsi="Verdana" w:cs="Times New Roman"/>
        </w:rPr>
        <w:t xml:space="preserve">i NSZZ „Solidarność” </w:t>
      </w:r>
      <w:r w:rsidR="00C029BE" w:rsidRPr="008F3887">
        <w:rPr>
          <w:rFonts w:ascii="Verdana" w:hAnsi="Verdana" w:cs="Times New Roman"/>
        </w:rPr>
        <w:t xml:space="preserve">w Uniwersytecie Śląskim </w:t>
      </w:r>
      <w:r w:rsidR="00784278" w:rsidRPr="008F3887">
        <w:rPr>
          <w:rFonts w:ascii="Verdana" w:hAnsi="Verdana" w:cs="Times New Roman"/>
        </w:rPr>
        <w:t>w sprawie zwiększenia wynagrodzeń od 1 stycznia 2023</w:t>
      </w:r>
      <w:r w:rsidR="005B3B65" w:rsidRPr="008F3887">
        <w:rPr>
          <w:rFonts w:ascii="Verdana" w:hAnsi="Verdana" w:cs="Times New Roman"/>
        </w:rPr>
        <w:t xml:space="preserve"> r</w:t>
      </w:r>
      <w:r w:rsidR="00784278" w:rsidRPr="008F3887">
        <w:rPr>
          <w:rFonts w:ascii="Verdana" w:hAnsi="Verdana" w:cs="Times New Roman"/>
        </w:rPr>
        <w:t>.</w:t>
      </w:r>
    </w:p>
    <w:p w14:paraId="1F6E5E5D" w14:textId="4D0F2574" w:rsidR="005F1569" w:rsidRPr="008F3887" w:rsidRDefault="00394A90" w:rsidP="008F3887">
      <w:pPr>
        <w:pStyle w:val="Akapitzlist"/>
        <w:numPr>
          <w:ilvl w:val="0"/>
          <w:numId w:val="1"/>
        </w:numPr>
        <w:shd w:val="clear" w:color="auto" w:fill="FFFFFF"/>
        <w:spacing w:before="240" w:after="240" w:line="360" w:lineRule="auto"/>
        <w:ind w:hanging="578"/>
        <w:contextualSpacing w:val="0"/>
        <w:outlineLvl w:val="1"/>
        <w:rPr>
          <w:rFonts w:ascii="Verdana" w:eastAsia="Times New Roman" w:hAnsi="Verdana" w:cs="Times New Roman"/>
          <w:bCs/>
          <w:lang w:eastAsia="pl-PL"/>
        </w:rPr>
      </w:pPr>
      <w:r w:rsidRPr="008F3887">
        <w:rPr>
          <w:rFonts w:ascii="Verdana" w:hAnsi="Verdana" w:cs="Times New Roman"/>
        </w:rPr>
        <w:t>W</w:t>
      </w:r>
      <w:r w:rsidR="005F1569" w:rsidRPr="008F3887">
        <w:rPr>
          <w:rFonts w:ascii="Verdana" w:hAnsi="Verdana" w:cs="Times New Roman"/>
        </w:rPr>
        <w:t xml:space="preserve"> związku z ustaleniem od 1 stycznia 2023 r. nowego wynagrodzenia</w:t>
      </w:r>
      <w:r w:rsidR="00C029BE" w:rsidRPr="008F3887">
        <w:rPr>
          <w:rFonts w:ascii="Verdana" w:hAnsi="Verdana" w:cs="Times New Roman"/>
        </w:rPr>
        <w:t xml:space="preserve"> zasadniczego</w:t>
      </w:r>
      <w:r w:rsidR="005F1569" w:rsidRPr="008F3887">
        <w:rPr>
          <w:rFonts w:ascii="Verdana" w:hAnsi="Verdana" w:cs="Times New Roman"/>
        </w:rPr>
        <w:t xml:space="preserve"> do minimalnej wysokości wynagrodzenia zasadniczego zgodnie z </w:t>
      </w:r>
      <w:r w:rsidR="005F1569" w:rsidRPr="008F3887">
        <w:rPr>
          <w:rFonts w:ascii="Verdana" w:hAnsi="Verdana" w:cs="Times New Roman"/>
          <w:bCs/>
        </w:rPr>
        <w:t>Rozporządzeniem Ministerstwa Edukacji i Nauki</w:t>
      </w:r>
      <w:r w:rsidR="005F1569" w:rsidRPr="008F3887">
        <w:rPr>
          <w:rFonts w:ascii="Verdana" w:hAnsi="Verdana" w:cs="Times New Roman"/>
          <w:b/>
          <w:bCs/>
        </w:rPr>
        <w:t xml:space="preserve"> </w:t>
      </w:r>
      <w:r w:rsidR="005F1569" w:rsidRPr="008F3887">
        <w:rPr>
          <w:rFonts w:ascii="Verdana" w:hAnsi="Verdana" w:cs="Times New Roman"/>
        </w:rPr>
        <w:t xml:space="preserve">z dnia 2 stycznia 2023 r. </w:t>
      </w:r>
      <w:r w:rsidR="005F1569" w:rsidRPr="008F3887">
        <w:rPr>
          <w:rFonts w:ascii="Verdana" w:eastAsia="Times New Roman" w:hAnsi="Verdana" w:cs="Times New Roman"/>
          <w:bCs/>
          <w:lang w:eastAsia="pl-PL"/>
        </w:rPr>
        <w:t>zmieniającym rozporządzenie w</w:t>
      </w:r>
      <w:r w:rsidR="00562C0A" w:rsidRPr="008F3887">
        <w:rPr>
          <w:rFonts w:ascii="Verdana" w:eastAsia="Times New Roman" w:hAnsi="Verdana" w:cs="Times New Roman"/>
          <w:bCs/>
          <w:lang w:eastAsia="pl-PL"/>
        </w:rPr>
        <w:t> </w:t>
      </w:r>
      <w:r w:rsidR="005F1569" w:rsidRPr="008F3887">
        <w:rPr>
          <w:rFonts w:ascii="Verdana" w:eastAsia="Times New Roman" w:hAnsi="Verdana" w:cs="Times New Roman"/>
          <w:bCs/>
          <w:lang w:eastAsia="pl-PL"/>
        </w:rPr>
        <w:t xml:space="preserve">sprawie wysokości minimalnego miesięcznego wynagrodzenia zasadniczego dla profesora w uczelni publicznej (Dz.U. z 2023 poz.16) </w:t>
      </w:r>
      <w:r w:rsidRPr="008F3887">
        <w:rPr>
          <w:rFonts w:ascii="Verdana" w:eastAsia="Times New Roman" w:hAnsi="Verdana" w:cs="Times New Roman"/>
          <w:bCs/>
          <w:lang w:eastAsia="pl-PL"/>
        </w:rPr>
        <w:t>oraz</w:t>
      </w:r>
      <w:r w:rsidR="005F1569" w:rsidRPr="008F3887">
        <w:rPr>
          <w:rFonts w:ascii="Verdana" w:eastAsia="Times New Roman" w:hAnsi="Verdana" w:cs="Times New Roman"/>
          <w:bCs/>
          <w:lang w:eastAsia="pl-PL"/>
        </w:rPr>
        <w:t xml:space="preserve"> Rozporządzeniem Rady Ministrów  z dnia 13 września 2022 r. w</w:t>
      </w:r>
      <w:r w:rsidR="004B36DD" w:rsidRPr="008F3887">
        <w:rPr>
          <w:rFonts w:ascii="Verdana" w:eastAsia="Times New Roman" w:hAnsi="Verdana" w:cs="Times New Roman"/>
          <w:bCs/>
          <w:lang w:eastAsia="pl-PL"/>
        </w:rPr>
        <w:t> </w:t>
      </w:r>
      <w:r w:rsidR="005F1569" w:rsidRPr="008F3887">
        <w:rPr>
          <w:rFonts w:ascii="Verdana" w:eastAsia="Times New Roman" w:hAnsi="Verdana" w:cs="Times New Roman"/>
          <w:bCs/>
          <w:lang w:eastAsia="pl-PL"/>
        </w:rPr>
        <w:t>sprawie wysokości minimalnego wynagrodzenia za pracę oraz wysokości minimalnej stawki godzinowej w 2023 r.(Dz.U. z 2022 poz. 1952)</w:t>
      </w:r>
      <w:r w:rsidRPr="008F3887">
        <w:rPr>
          <w:rFonts w:ascii="Verdana" w:eastAsia="Times New Roman" w:hAnsi="Verdana" w:cs="Times New Roman"/>
          <w:bCs/>
          <w:lang w:eastAsia="pl-PL"/>
        </w:rPr>
        <w:t xml:space="preserve">, </w:t>
      </w:r>
      <w:r w:rsidRPr="008F3887">
        <w:rPr>
          <w:rFonts w:ascii="Verdana" w:hAnsi="Verdana" w:cs="Times New Roman"/>
        </w:rPr>
        <w:t>z otrzymanych przez Uniwersytet Śląski w Katowicach środków w kwocie 26.870.700,00 zł, wynikających ze zwiększenia  subwencji  zgodnie z Komunikatem Ministerstwa Edukacji i Nauki z dnia 15 lutego 2023 r</w:t>
      </w:r>
      <w:r w:rsidR="00C029BE" w:rsidRPr="008F3887">
        <w:rPr>
          <w:rFonts w:ascii="Verdana" w:hAnsi="Verdana" w:cs="Times New Roman"/>
        </w:rPr>
        <w:t>.</w:t>
      </w:r>
      <w:r w:rsidRPr="008F3887">
        <w:rPr>
          <w:rFonts w:ascii="Verdana" w:hAnsi="Verdana" w:cs="Times New Roman"/>
        </w:rPr>
        <w:t xml:space="preserve"> na zwiększenie wynagrodzeń pracowników przeznacz</w:t>
      </w:r>
      <w:r w:rsidR="00562C0A" w:rsidRPr="008F3887">
        <w:rPr>
          <w:rFonts w:ascii="Verdana" w:hAnsi="Verdana" w:cs="Times New Roman"/>
        </w:rPr>
        <w:t>ono</w:t>
      </w:r>
      <w:r w:rsidRPr="008F3887">
        <w:rPr>
          <w:rFonts w:ascii="Verdana" w:hAnsi="Verdana" w:cs="Times New Roman"/>
        </w:rPr>
        <w:t xml:space="preserve"> kwotę 4.530.012,00 zł</w:t>
      </w:r>
      <w:r w:rsidRPr="008F3887">
        <w:rPr>
          <w:rFonts w:ascii="Verdana" w:eastAsia="Times New Roman" w:hAnsi="Verdana" w:cs="Times New Roman"/>
          <w:bCs/>
          <w:lang w:eastAsia="pl-PL"/>
        </w:rPr>
        <w:t>.</w:t>
      </w:r>
      <w:r w:rsidR="00213075" w:rsidRPr="008F3887">
        <w:rPr>
          <w:rFonts w:ascii="Verdana" w:eastAsia="Times New Roman" w:hAnsi="Verdana" w:cs="Times New Roman"/>
          <w:bCs/>
          <w:lang w:eastAsia="pl-PL"/>
        </w:rPr>
        <w:t xml:space="preserve"> </w:t>
      </w:r>
    </w:p>
    <w:p w14:paraId="6826DD7D" w14:textId="77777777" w:rsidR="00784278" w:rsidRPr="008F3887" w:rsidRDefault="00394607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 xml:space="preserve"> </w:t>
      </w:r>
      <w:r w:rsidR="00894F1E" w:rsidRPr="008F3887">
        <w:rPr>
          <w:rFonts w:ascii="Verdana" w:hAnsi="Verdana" w:cs="Times New Roman"/>
        </w:rPr>
        <w:t xml:space="preserve">Na zwiększenie wynagrodzeń pracowników przeznacza się  </w:t>
      </w:r>
      <w:r w:rsidR="00394A90" w:rsidRPr="008F3887">
        <w:rPr>
          <w:rFonts w:ascii="Verdana" w:hAnsi="Verdana" w:cs="Times New Roman"/>
        </w:rPr>
        <w:t xml:space="preserve">środki w kwocie </w:t>
      </w:r>
      <w:r w:rsidR="00894F1E" w:rsidRPr="008F3887">
        <w:rPr>
          <w:rFonts w:ascii="Verdana" w:hAnsi="Verdana" w:cs="Times New Roman"/>
        </w:rPr>
        <w:t>22.384.524,00</w:t>
      </w:r>
      <w:r w:rsidR="00713CFB" w:rsidRPr="008F3887">
        <w:rPr>
          <w:rFonts w:ascii="Verdana" w:hAnsi="Verdana" w:cs="Times New Roman"/>
        </w:rPr>
        <w:t> </w:t>
      </w:r>
      <w:r w:rsidR="00394A90" w:rsidRPr="008F3887">
        <w:rPr>
          <w:rFonts w:ascii="Verdana" w:hAnsi="Verdana" w:cs="Times New Roman"/>
        </w:rPr>
        <w:t>zł</w:t>
      </w:r>
      <w:r w:rsidR="008C56B1" w:rsidRPr="008F3887">
        <w:rPr>
          <w:rFonts w:ascii="Verdana" w:hAnsi="Verdana" w:cs="Times New Roman"/>
        </w:rPr>
        <w:t>:</w:t>
      </w:r>
    </w:p>
    <w:p w14:paraId="360BFE18" w14:textId="77777777" w:rsidR="00394607" w:rsidRPr="008F3887" w:rsidRDefault="00EC0FE4" w:rsidP="008F3887">
      <w:pPr>
        <w:pStyle w:val="Akapitzlist"/>
        <w:numPr>
          <w:ilvl w:val="0"/>
          <w:numId w:val="2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d</w:t>
      </w:r>
      <w:r w:rsidR="00394607" w:rsidRPr="008F3887">
        <w:rPr>
          <w:rFonts w:ascii="Verdana" w:hAnsi="Verdana" w:cs="Times New Roman"/>
        </w:rPr>
        <w:t xml:space="preserve">la nauczycieli akademickich – </w:t>
      </w:r>
      <w:r w:rsidR="00030236" w:rsidRPr="008F3887">
        <w:rPr>
          <w:rFonts w:ascii="Verdana" w:hAnsi="Verdana" w:cs="Times New Roman"/>
        </w:rPr>
        <w:t>1.142.221,00</w:t>
      </w:r>
      <w:r w:rsidR="00394607" w:rsidRPr="008F3887">
        <w:rPr>
          <w:rFonts w:ascii="Verdana" w:hAnsi="Verdana" w:cs="Times New Roman"/>
        </w:rPr>
        <w:t xml:space="preserve"> zł (w skali miesiąca)</w:t>
      </w:r>
    </w:p>
    <w:p w14:paraId="051FB7F6" w14:textId="77777777" w:rsidR="00394607" w:rsidRPr="008F3887" w:rsidRDefault="00EC0FE4" w:rsidP="008F3887">
      <w:pPr>
        <w:pStyle w:val="Akapitzlist"/>
        <w:numPr>
          <w:ilvl w:val="0"/>
          <w:numId w:val="2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d</w:t>
      </w:r>
      <w:r w:rsidR="00394607" w:rsidRPr="008F3887">
        <w:rPr>
          <w:rFonts w:ascii="Verdana" w:hAnsi="Verdana" w:cs="Times New Roman"/>
        </w:rPr>
        <w:t xml:space="preserve">la pracowników niebędących nauczycielami akademickimi – </w:t>
      </w:r>
      <w:r w:rsidR="00030236" w:rsidRPr="008F3887">
        <w:rPr>
          <w:rFonts w:ascii="Verdana" w:hAnsi="Verdana" w:cs="Times New Roman"/>
        </w:rPr>
        <w:t>723.156,00</w:t>
      </w:r>
      <w:r w:rsidR="00394607" w:rsidRPr="008F3887">
        <w:rPr>
          <w:rFonts w:ascii="Verdana" w:hAnsi="Verdana" w:cs="Times New Roman"/>
        </w:rPr>
        <w:t xml:space="preserve"> zł (w skali miesiąca).</w:t>
      </w:r>
    </w:p>
    <w:p w14:paraId="2CE118A8" w14:textId="6CC22982" w:rsidR="00394607" w:rsidRPr="008F3887" w:rsidRDefault="00394607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Po odliczeniu pochodnych</w:t>
      </w:r>
      <w:r w:rsidRPr="008F3887">
        <w:rPr>
          <w:rFonts w:ascii="Verdana" w:hAnsi="Verdana" w:cs="Times New Roman"/>
          <w:color w:val="000000" w:themeColor="text1"/>
        </w:rPr>
        <w:t xml:space="preserve"> oraz </w:t>
      </w:r>
      <w:r w:rsidRPr="008F3887">
        <w:rPr>
          <w:rFonts w:ascii="Verdana" w:hAnsi="Verdana" w:cs="Times New Roman"/>
        </w:rPr>
        <w:t>po odliczeniu wzrostu wydatków związanych z dodatkiem za staż pracy, funduszem nagród, dodatkow</w:t>
      </w:r>
      <w:r w:rsidR="005B3B65" w:rsidRPr="008F3887">
        <w:rPr>
          <w:rFonts w:ascii="Verdana" w:hAnsi="Verdana" w:cs="Times New Roman"/>
        </w:rPr>
        <w:t>ym</w:t>
      </w:r>
      <w:r w:rsidRPr="008F3887">
        <w:rPr>
          <w:rFonts w:ascii="Verdana" w:hAnsi="Verdana" w:cs="Times New Roman"/>
        </w:rPr>
        <w:t xml:space="preserve"> wynagrodzeni</w:t>
      </w:r>
      <w:r w:rsidR="005B3B65" w:rsidRPr="008F3887">
        <w:rPr>
          <w:rFonts w:ascii="Verdana" w:hAnsi="Verdana" w:cs="Times New Roman"/>
        </w:rPr>
        <w:t>em</w:t>
      </w:r>
      <w:r w:rsidRPr="008F3887">
        <w:rPr>
          <w:rFonts w:ascii="Verdana" w:hAnsi="Verdana" w:cs="Times New Roman"/>
        </w:rPr>
        <w:t xml:space="preserve"> roczn</w:t>
      </w:r>
      <w:r w:rsidR="005B3B65" w:rsidRPr="008F3887">
        <w:rPr>
          <w:rFonts w:ascii="Verdana" w:hAnsi="Verdana" w:cs="Times New Roman"/>
        </w:rPr>
        <w:t>ym</w:t>
      </w:r>
      <w:r w:rsidRPr="008F3887">
        <w:rPr>
          <w:rFonts w:ascii="Verdana" w:hAnsi="Verdana" w:cs="Times New Roman"/>
        </w:rPr>
        <w:t xml:space="preserve">, </w:t>
      </w:r>
      <w:r w:rsidR="00EC0FE4" w:rsidRPr="008F3887">
        <w:rPr>
          <w:rFonts w:ascii="Verdana" w:hAnsi="Verdana" w:cs="Times New Roman"/>
        </w:rPr>
        <w:t xml:space="preserve">  na podwyżkę wynagrodzen</w:t>
      </w:r>
      <w:r w:rsidR="0096001A" w:rsidRPr="008F3887">
        <w:rPr>
          <w:rFonts w:ascii="Verdana" w:hAnsi="Verdana" w:cs="Times New Roman"/>
        </w:rPr>
        <w:t>ia zasadniczego pozostaje kwota</w:t>
      </w:r>
      <w:r w:rsidR="00EC0FE4" w:rsidRPr="008F3887">
        <w:rPr>
          <w:rFonts w:ascii="Verdana" w:hAnsi="Verdana" w:cs="Times New Roman"/>
        </w:rPr>
        <w:t>:</w:t>
      </w:r>
    </w:p>
    <w:p w14:paraId="527BB906" w14:textId="77777777" w:rsidR="00EC0FE4" w:rsidRPr="008F3887" w:rsidRDefault="00EC0FE4" w:rsidP="008F3887">
      <w:pPr>
        <w:pStyle w:val="Akapitzlist"/>
        <w:numPr>
          <w:ilvl w:val="0"/>
          <w:numId w:val="3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 xml:space="preserve">dla nauczycieli akademickich – </w:t>
      </w:r>
      <w:r w:rsidR="00030236" w:rsidRPr="008F3887">
        <w:rPr>
          <w:rFonts w:ascii="Verdana" w:hAnsi="Verdana" w:cs="Times New Roman"/>
        </w:rPr>
        <w:t>711.378,00</w:t>
      </w:r>
      <w:r w:rsidRPr="008F3887">
        <w:rPr>
          <w:rFonts w:ascii="Verdana" w:hAnsi="Verdana" w:cs="Times New Roman"/>
        </w:rPr>
        <w:t xml:space="preserve"> zł (w skali miesiąca)</w:t>
      </w:r>
    </w:p>
    <w:p w14:paraId="6F760CC5" w14:textId="77777777" w:rsidR="0015577D" w:rsidRPr="008F3887" w:rsidRDefault="00EC0FE4" w:rsidP="008F3887">
      <w:pPr>
        <w:pStyle w:val="Akapitzlist"/>
        <w:numPr>
          <w:ilvl w:val="0"/>
          <w:numId w:val="3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lastRenderedPageBreak/>
        <w:t xml:space="preserve">dla pracowników niebędących nauczycielami akademickimi – </w:t>
      </w:r>
      <w:r w:rsidR="00030236" w:rsidRPr="008F3887">
        <w:rPr>
          <w:rFonts w:ascii="Verdana" w:hAnsi="Verdana" w:cs="Times New Roman"/>
        </w:rPr>
        <w:t>456.190,00</w:t>
      </w:r>
      <w:r w:rsidRPr="008F3887">
        <w:rPr>
          <w:rFonts w:ascii="Verdana" w:hAnsi="Verdana" w:cs="Times New Roman"/>
        </w:rPr>
        <w:t xml:space="preserve"> zł (w skali miesiąca).</w:t>
      </w:r>
    </w:p>
    <w:p w14:paraId="1ED4C97F" w14:textId="77777777" w:rsidR="00647BD6" w:rsidRPr="008F3887" w:rsidRDefault="00EC0FE4" w:rsidP="008F3887">
      <w:pPr>
        <w:pStyle w:val="Akapitzlist"/>
        <w:numPr>
          <w:ilvl w:val="0"/>
          <w:numId w:val="1"/>
        </w:numPr>
        <w:spacing w:before="240" w:after="240" w:line="360" w:lineRule="auto"/>
        <w:ind w:left="714"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 xml:space="preserve">W grupie nauczycieli akademickich na podwyżkę wynagrodzenia zasadniczego </w:t>
      </w:r>
      <w:r w:rsidR="00C029BE" w:rsidRPr="008F3887">
        <w:rPr>
          <w:rFonts w:ascii="Verdana" w:hAnsi="Verdana" w:cs="Times New Roman"/>
        </w:rPr>
        <w:t>dla pełnego wymiaru czasu pracy</w:t>
      </w:r>
      <w:r w:rsidRPr="008F3887">
        <w:rPr>
          <w:rFonts w:ascii="Verdana" w:hAnsi="Verdana" w:cs="Times New Roman"/>
        </w:rPr>
        <w:t xml:space="preserve"> przeznacza się następujące kwoty </w:t>
      </w:r>
      <w:r w:rsidR="00C029BE" w:rsidRPr="008F3887">
        <w:rPr>
          <w:rFonts w:ascii="Verdana" w:hAnsi="Verdana" w:cs="Times New Roman"/>
        </w:rPr>
        <w:t xml:space="preserve">dla </w:t>
      </w:r>
      <w:r w:rsidRPr="008F3887">
        <w:rPr>
          <w:rFonts w:ascii="Verdana" w:hAnsi="Verdana" w:cs="Times New Roman"/>
        </w:rPr>
        <w:t>poszczególnych stanowisk:</w:t>
      </w:r>
    </w:p>
    <w:tbl>
      <w:tblPr>
        <w:tblStyle w:val="Tabela-Siatka"/>
        <w:tblW w:w="8951" w:type="dxa"/>
        <w:tblInd w:w="683" w:type="dxa"/>
        <w:tblLook w:val="04A0" w:firstRow="1" w:lastRow="0" w:firstColumn="1" w:lastColumn="0" w:noHBand="0" w:noVBand="1"/>
      </w:tblPr>
      <w:tblGrid>
        <w:gridCol w:w="694"/>
        <w:gridCol w:w="3071"/>
        <w:gridCol w:w="5186"/>
      </w:tblGrid>
      <w:tr w:rsidR="00EC0FE4" w:rsidRPr="008F3887" w14:paraId="25D2A041" w14:textId="77777777" w:rsidTr="008F3887">
        <w:trPr>
          <w:tblHeader/>
        </w:trPr>
        <w:tc>
          <w:tcPr>
            <w:tcW w:w="694" w:type="dxa"/>
          </w:tcPr>
          <w:p w14:paraId="6442BE36" w14:textId="77777777" w:rsidR="00EC0FE4" w:rsidRPr="008F3887" w:rsidRDefault="00EC0FE4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Lp.</w:t>
            </w:r>
          </w:p>
        </w:tc>
        <w:tc>
          <w:tcPr>
            <w:tcW w:w="3071" w:type="dxa"/>
          </w:tcPr>
          <w:p w14:paraId="6F881CD8" w14:textId="77777777" w:rsidR="00EC0FE4" w:rsidRPr="008F3887" w:rsidRDefault="00EC0FE4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Stanowisko</w:t>
            </w:r>
          </w:p>
        </w:tc>
        <w:tc>
          <w:tcPr>
            <w:tcW w:w="5186" w:type="dxa"/>
          </w:tcPr>
          <w:p w14:paraId="53C774A4" w14:textId="77777777" w:rsidR="00EC0FE4" w:rsidRPr="008F3887" w:rsidRDefault="00EC0FE4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Podwyżka</w:t>
            </w:r>
            <w:r w:rsidR="005F27BF" w:rsidRPr="008F3887">
              <w:rPr>
                <w:rFonts w:ascii="Verdana" w:hAnsi="Verdana" w:cs="Times New Roman"/>
              </w:rPr>
              <w:t xml:space="preserve"> </w:t>
            </w:r>
            <w:r w:rsidRPr="008F3887">
              <w:rPr>
                <w:rFonts w:ascii="Verdana" w:hAnsi="Verdana" w:cs="Times New Roman"/>
              </w:rPr>
              <w:t>wynagrodzenia zasadniczego w zł na pełny etat</w:t>
            </w:r>
          </w:p>
        </w:tc>
      </w:tr>
      <w:tr w:rsidR="00EC0FE4" w:rsidRPr="008F3887" w14:paraId="4505A71D" w14:textId="77777777" w:rsidTr="008F3887">
        <w:trPr>
          <w:tblHeader/>
        </w:trPr>
        <w:tc>
          <w:tcPr>
            <w:tcW w:w="694" w:type="dxa"/>
          </w:tcPr>
          <w:p w14:paraId="1C5AADF0" w14:textId="77777777" w:rsidR="00EC0FE4" w:rsidRPr="008F3887" w:rsidRDefault="00EC0FE4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1.</w:t>
            </w:r>
          </w:p>
        </w:tc>
        <w:tc>
          <w:tcPr>
            <w:tcW w:w="3071" w:type="dxa"/>
          </w:tcPr>
          <w:p w14:paraId="5DCF9F3C" w14:textId="77777777" w:rsidR="00EC0FE4" w:rsidRPr="008F3887" w:rsidRDefault="00EC0FE4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Profesor</w:t>
            </w:r>
          </w:p>
        </w:tc>
        <w:tc>
          <w:tcPr>
            <w:tcW w:w="5186" w:type="dxa"/>
          </w:tcPr>
          <w:p w14:paraId="011CB2D8" w14:textId="77777777" w:rsidR="00EC0FE4" w:rsidRPr="008F3887" w:rsidRDefault="00030236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590</w:t>
            </w:r>
            <w:r w:rsidR="00EC103A" w:rsidRPr="008F3887">
              <w:rPr>
                <w:rFonts w:ascii="Verdana" w:hAnsi="Verdana" w:cs="Times New Roman"/>
              </w:rPr>
              <w:t>,00</w:t>
            </w:r>
          </w:p>
        </w:tc>
      </w:tr>
      <w:tr w:rsidR="00EC0FE4" w:rsidRPr="008F3887" w14:paraId="254C8609" w14:textId="77777777" w:rsidTr="008F3887">
        <w:trPr>
          <w:tblHeader/>
        </w:trPr>
        <w:tc>
          <w:tcPr>
            <w:tcW w:w="694" w:type="dxa"/>
          </w:tcPr>
          <w:p w14:paraId="04E8E88B" w14:textId="77777777" w:rsidR="00EC0FE4" w:rsidRPr="008F3887" w:rsidRDefault="00EC0FE4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2.</w:t>
            </w:r>
          </w:p>
        </w:tc>
        <w:tc>
          <w:tcPr>
            <w:tcW w:w="3071" w:type="dxa"/>
          </w:tcPr>
          <w:p w14:paraId="762DD5BD" w14:textId="77777777" w:rsidR="00EC0FE4" w:rsidRPr="008F3887" w:rsidRDefault="00EC0FE4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Profesor uczelni</w:t>
            </w:r>
          </w:p>
        </w:tc>
        <w:tc>
          <w:tcPr>
            <w:tcW w:w="5186" w:type="dxa"/>
          </w:tcPr>
          <w:p w14:paraId="576DAB2B" w14:textId="77777777" w:rsidR="00EC0FE4" w:rsidRPr="008F3887" w:rsidRDefault="00EC103A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4</w:t>
            </w:r>
            <w:r w:rsidR="008C56B1" w:rsidRPr="008F3887">
              <w:rPr>
                <w:rFonts w:ascii="Verdana" w:hAnsi="Verdana" w:cs="Times New Roman"/>
              </w:rPr>
              <w:t>0</w:t>
            </w:r>
            <w:r w:rsidRPr="008F3887">
              <w:rPr>
                <w:rFonts w:ascii="Verdana" w:hAnsi="Verdana" w:cs="Times New Roman"/>
              </w:rPr>
              <w:t>0,00</w:t>
            </w:r>
          </w:p>
        </w:tc>
      </w:tr>
      <w:tr w:rsidR="00030236" w:rsidRPr="008F3887" w14:paraId="73824AD2" w14:textId="77777777" w:rsidTr="008F3887">
        <w:trPr>
          <w:tblHeader/>
        </w:trPr>
        <w:tc>
          <w:tcPr>
            <w:tcW w:w="694" w:type="dxa"/>
          </w:tcPr>
          <w:p w14:paraId="03BED2F3" w14:textId="77777777" w:rsidR="00030236" w:rsidRPr="008F3887" w:rsidRDefault="00030236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3.</w:t>
            </w:r>
          </w:p>
        </w:tc>
        <w:tc>
          <w:tcPr>
            <w:tcW w:w="3071" w:type="dxa"/>
          </w:tcPr>
          <w:p w14:paraId="4AAF7949" w14:textId="77777777" w:rsidR="00030236" w:rsidRPr="008F3887" w:rsidRDefault="00030236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Adiunkt z</w:t>
            </w:r>
            <w:r w:rsidR="0097262A" w:rsidRPr="008F3887">
              <w:rPr>
                <w:rFonts w:ascii="Verdana" w:hAnsi="Verdana" w:cs="Times New Roman"/>
              </w:rPr>
              <w:t>e stopniem</w:t>
            </w:r>
            <w:r w:rsidRPr="008F3887">
              <w:rPr>
                <w:rFonts w:ascii="Verdana" w:hAnsi="Verdana" w:cs="Times New Roman"/>
              </w:rPr>
              <w:t xml:space="preserve"> dr. hab.</w:t>
            </w:r>
          </w:p>
        </w:tc>
        <w:tc>
          <w:tcPr>
            <w:tcW w:w="5186" w:type="dxa"/>
          </w:tcPr>
          <w:p w14:paraId="48CCCA86" w14:textId="77777777" w:rsidR="00030236" w:rsidRPr="008F3887" w:rsidRDefault="00030236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400,00</w:t>
            </w:r>
          </w:p>
        </w:tc>
      </w:tr>
      <w:tr w:rsidR="00EC0FE4" w:rsidRPr="008F3887" w14:paraId="0C0A7205" w14:textId="77777777" w:rsidTr="008F3887">
        <w:trPr>
          <w:tblHeader/>
        </w:trPr>
        <w:tc>
          <w:tcPr>
            <w:tcW w:w="694" w:type="dxa"/>
          </w:tcPr>
          <w:p w14:paraId="687D59D1" w14:textId="77777777" w:rsidR="00EC0FE4" w:rsidRPr="008F3887" w:rsidRDefault="00030236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4.</w:t>
            </w:r>
          </w:p>
        </w:tc>
        <w:tc>
          <w:tcPr>
            <w:tcW w:w="3071" w:type="dxa"/>
          </w:tcPr>
          <w:p w14:paraId="2BEB86C3" w14:textId="77777777" w:rsidR="00EC0FE4" w:rsidRPr="008F3887" w:rsidRDefault="00EC0FE4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 xml:space="preserve">Adiunkt </w:t>
            </w:r>
            <w:r w:rsidR="00030236" w:rsidRPr="008F3887">
              <w:rPr>
                <w:rFonts w:ascii="Verdana" w:hAnsi="Verdana" w:cs="Times New Roman"/>
              </w:rPr>
              <w:t>z</w:t>
            </w:r>
            <w:r w:rsidR="0097262A" w:rsidRPr="008F3887">
              <w:rPr>
                <w:rFonts w:ascii="Verdana" w:hAnsi="Verdana" w:cs="Times New Roman"/>
              </w:rPr>
              <w:t>e stopniem</w:t>
            </w:r>
            <w:r w:rsidR="00030236" w:rsidRPr="008F3887">
              <w:rPr>
                <w:rFonts w:ascii="Verdana" w:hAnsi="Verdana" w:cs="Times New Roman"/>
              </w:rPr>
              <w:t xml:space="preserve"> dr.</w:t>
            </w:r>
          </w:p>
        </w:tc>
        <w:tc>
          <w:tcPr>
            <w:tcW w:w="5186" w:type="dxa"/>
          </w:tcPr>
          <w:p w14:paraId="059DA688" w14:textId="77777777" w:rsidR="00EC0FE4" w:rsidRPr="008F3887" w:rsidRDefault="008C56B1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3</w:t>
            </w:r>
            <w:r w:rsidR="00EC103A" w:rsidRPr="008F3887">
              <w:rPr>
                <w:rFonts w:ascii="Verdana" w:hAnsi="Verdana" w:cs="Times New Roman"/>
              </w:rPr>
              <w:t>50,00</w:t>
            </w:r>
          </w:p>
        </w:tc>
      </w:tr>
      <w:tr w:rsidR="00EC0FE4" w:rsidRPr="008F3887" w14:paraId="5AC1E7BE" w14:textId="77777777" w:rsidTr="008F3887">
        <w:trPr>
          <w:tblHeader/>
        </w:trPr>
        <w:tc>
          <w:tcPr>
            <w:tcW w:w="694" w:type="dxa"/>
          </w:tcPr>
          <w:p w14:paraId="07C4EFA7" w14:textId="77777777" w:rsidR="00EC0FE4" w:rsidRPr="008F3887" w:rsidRDefault="00030236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5.</w:t>
            </w:r>
          </w:p>
        </w:tc>
        <w:tc>
          <w:tcPr>
            <w:tcW w:w="3071" w:type="dxa"/>
          </w:tcPr>
          <w:p w14:paraId="292A983C" w14:textId="77777777" w:rsidR="00EC0FE4" w:rsidRPr="008F3887" w:rsidRDefault="00EC103A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Asystent</w:t>
            </w:r>
          </w:p>
        </w:tc>
        <w:tc>
          <w:tcPr>
            <w:tcW w:w="5186" w:type="dxa"/>
          </w:tcPr>
          <w:p w14:paraId="621F02F9" w14:textId="77777777" w:rsidR="00EC0FE4" w:rsidRPr="008F3887" w:rsidRDefault="00EC103A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3</w:t>
            </w:r>
            <w:r w:rsidR="008C56B1" w:rsidRPr="008F3887">
              <w:rPr>
                <w:rFonts w:ascii="Verdana" w:hAnsi="Verdana" w:cs="Times New Roman"/>
              </w:rPr>
              <w:t>0</w:t>
            </w:r>
            <w:r w:rsidRPr="008F3887">
              <w:rPr>
                <w:rFonts w:ascii="Verdana" w:hAnsi="Verdana" w:cs="Times New Roman"/>
              </w:rPr>
              <w:t>0,00</w:t>
            </w:r>
          </w:p>
        </w:tc>
      </w:tr>
      <w:tr w:rsidR="00EC0FE4" w:rsidRPr="008F3887" w14:paraId="3BE0F7B8" w14:textId="77777777" w:rsidTr="008F3887">
        <w:trPr>
          <w:tblHeader/>
        </w:trPr>
        <w:tc>
          <w:tcPr>
            <w:tcW w:w="694" w:type="dxa"/>
          </w:tcPr>
          <w:p w14:paraId="5BE44355" w14:textId="77777777" w:rsidR="00EC0FE4" w:rsidRPr="008F3887" w:rsidRDefault="00030236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6.</w:t>
            </w:r>
          </w:p>
        </w:tc>
        <w:tc>
          <w:tcPr>
            <w:tcW w:w="3071" w:type="dxa"/>
          </w:tcPr>
          <w:p w14:paraId="5EF7EF84" w14:textId="77777777" w:rsidR="00EC0FE4" w:rsidRPr="008F3887" w:rsidRDefault="00EC103A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Starszy wykładowca</w:t>
            </w:r>
          </w:p>
        </w:tc>
        <w:tc>
          <w:tcPr>
            <w:tcW w:w="5186" w:type="dxa"/>
          </w:tcPr>
          <w:p w14:paraId="68AC7A69" w14:textId="77777777" w:rsidR="00EC0FE4" w:rsidRPr="008F3887" w:rsidRDefault="00EC103A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3</w:t>
            </w:r>
            <w:r w:rsidR="008C56B1" w:rsidRPr="008F3887">
              <w:rPr>
                <w:rFonts w:ascii="Verdana" w:hAnsi="Verdana" w:cs="Times New Roman"/>
              </w:rPr>
              <w:t>0</w:t>
            </w:r>
            <w:r w:rsidRPr="008F3887">
              <w:rPr>
                <w:rFonts w:ascii="Verdana" w:hAnsi="Verdana" w:cs="Times New Roman"/>
              </w:rPr>
              <w:t>0,00</w:t>
            </w:r>
          </w:p>
        </w:tc>
      </w:tr>
      <w:tr w:rsidR="00EC0FE4" w:rsidRPr="008F3887" w14:paraId="0DB8C2ED" w14:textId="77777777" w:rsidTr="008F3887">
        <w:trPr>
          <w:tblHeader/>
        </w:trPr>
        <w:tc>
          <w:tcPr>
            <w:tcW w:w="694" w:type="dxa"/>
          </w:tcPr>
          <w:p w14:paraId="408C2510" w14:textId="77777777" w:rsidR="00EC0FE4" w:rsidRPr="008F3887" w:rsidRDefault="00030236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7.</w:t>
            </w:r>
          </w:p>
        </w:tc>
        <w:tc>
          <w:tcPr>
            <w:tcW w:w="3071" w:type="dxa"/>
          </w:tcPr>
          <w:p w14:paraId="5B769AC5" w14:textId="77777777" w:rsidR="00EC0FE4" w:rsidRPr="008F3887" w:rsidRDefault="00EC103A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 xml:space="preserve">Instruktor </w:t>
            </w:r>
          </w:p>
        </w:tc>
        <w:tc>
          <w:tcPr>
            <w:tcW w:w="5186" w:type="dxa"/>
          </w:tcPr>
          <w:p w14:paraId="701C6E1A" w14:textId="77777777" w:rsidR="00EC0FE4" w:rsidRPr="008F3887" w:rsidRDefault="00EC103A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3</w:t>
            </w:r>
            <w:r w:rsidR="008C56B1" w:rsidRPr="008F3887">
              <w:rPr>
                <w:rFonts w:ascii="Verdana" w:hAnsi="Verdana" w:cs="Times New Roman"/>
              </w:rPr>
              <w:t>0</w:t>
            </w:r>
            <w:r w:rsidRPr="008F3887">
              <w:rPr>
                <w:rFonts w:ascii="Verdana" w:hAnsi="Verdana" w:cs="Times New Roman"/>
              </w:rPr>
              <w:t>0,00</w:t>
            </w:r>
          </w:p>
        </w:tc>
      </w:tr>
      <w:tr w:rsidR="00EC0FE4" w:rsidRPr="008F3887" w14:paraId="04561BA9" w14:textId="77777777" w:rsidTr="008F3887">
        <w:trPr>
          <w:tblHeader/>
        </w:trPr>
        <w:tc>
          <w:tcPr>
            <w:tcW w:w="694" w:type="dxa"/>
          </w:tcPr>
          <w:p w14:paraId="041AABBC" w14:textId="77777777" w:rsidR="00EC0FE4" w:rsidRPr="008F3887" w:rsidRDefault="008C56B1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7</w:t>
            </w:r>
            <w:r w:rsidR="00EC0FE4" w:rsidRPr="008F3887">
              <w:rPr>
                <w:rFonts w:ascii="Verdana" w:hAnsi="Verdana" w:cs="Times New Roman"/>
              </w:rPr>
              <w:t>.</w:t>
            </w:r>
          </w:p>
        </w:tc>
        <w:tc>
          <w:tcPr>
            <w:tcW w:w="3071" w:type="dxa"/>
          </w:tcPr>
          <w:p w14:paraId="0E3AF02A" w14:textId="77777777" w:rsidR="00EC0FE4" w:rsidRPr="008F3887" w:rsidRDefault="00EC103A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Lektor</w:t>
            </w:r>
          </w:p>
        </w:tc>
        <w:tc>
          <w:tcPr>
            <w:tcW w:w="5186" w:type="dxa"/>
          </w:tcPr>
          <w:p w14:paraId="061C3CD3" w14:textId="77777777" w:rsidR="00EC0FE4" w:rsidRPr="008F3887" w:rsidRDefault="00EC103A" w:rsidP="008F3887">
            <w:pPr>
              <w:spacing w:before="240" w:after="240" w:line="360" w:lineRule="auto"/>
              <w:rPr>
                <w:rFonts w:ascii="Verdana" w:hAnsi="Verdana" w:cs="Times New Roman"/>
              </w:rPr>
            </w:pPr>
            <w:r w:rsidRPr="008F3887">
              <w:rPr>
                <w:rFonts w:ascii="Verdana" w:hAnsi="Verdana" w:cs="Times New Roman"/>
              </w:rPr>
              <w:t>3</w:t>
            </w:r>
            <w:r w:rsidR="008C56B1" w:rsidRPr="008F3887">
              <w:rPr>
                <w:rFonts w:ascii="Verdana" w:hAnsi="Verdana" w:cs="Times New Roman"/>
              </w:rPr>
              <w:t>0</w:t>
            </w:r>
            <w:r w:rsidRPr="008F3887">
              <w:rPr>
                <w:rFonts w:ascii="Verdana" w:hAnsi="Verdana" w:cs="Times New Roman"/>
              </w:rPr>
              <w:t>0,00</w:t>
            </w:r>
          </w:p>
        </w:tc>
      </w:tr>
    </w:tbl>
    <w:p w14:paraId="766FCDED" w14:textId="77777777" w:rsidR="00EC0FE4" w:rsidRPr="008F3887" w:rsidRDefault="00EC0FE4" w:rsidP="008F3887">
      <w:pPr>
        <w:spacing w:before="240" w:after="240" w:line="360" w:lineRule="auto"/>
        <w:rPr>
          <w:rFonts w:ascii="Verdana" w:hAnsi="Verdana" w:cs="Times New Roman"/>
        </w:rPr>
      </w:pPr>
    </w:p>
    <w:p w14:paraId="3A3BEB65" w14:textId="77777777" w:rsidR="00424B69" w:rsidRPr="008F3887" w:rsidRDefault="005C2BB7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Naliczenie na podwyżkę wynagrodzenia zasadniczego</w:t>
      </w:r>
      <w:r w:rsidR="00043169" w:rsidRPr="008F3887">
        <w:rPr>
          <w:rFonts w:ascii="Verdana" w:hAnsi="Verdana" w:cs="Times New Roman"/>
        </w:rPr>
        <w:t xml:space="preserve"> dla pełnego wymiaru czasu pracy</w:t>
      </w:r>
      <w:r w:rsidRPr="008F3887">
        <w:rPr>
          <w:rFonts w:ascii="Verdana" w:hAnsi="Verdana" w:cs="Times New Roman"/>
        </w:rPr>
        <w:t xml:space="preserve"> w</w:t>
      </w:r>
      <w:r w:rsidR="005B3B65" w:rsidRPr="008F3887">
        <w:rPr>
          <w:rFonts w:ascii="Verdana" w:hAnsi="Verdana" w:cs="Times New Roman"/>
        </w:rPr>
        <w:t> </w:t>
      </w:r>
      <w:r w:rsidR="00722A34" w:rsidRPr="008F3887">
        <w:rPr>
          <w:rFonts w:ascii="Verdana" w:hAnsi="Verdana" w:cs="Times New Roman"/>
        </w:rPr>
        <w:t xml:space="preserve">grupie pracowników niebędących nauczycielami akademickimi </w:t>
      </w:r>
      <w:r w:rsidR="006426CF" w:rsidRPr="008F3887">
        <w:rPr>
          <w:rFonts w:ascii="Verdana" w:hAnsi="Verdana" w:cs="Times New Roman"/>
        </w:rPr>
        <w:t>wynosi</w:t>
      </w:r>
      <w:r w:rsidRPr="008F3887">
        <w:rPr>
          <w:rFonts w:ascii="Verdana" w:hAnsi="Verdana" w:cs="Times New Roman"/>
        </w:rPr>
        <w:t xml:space="preserve"> </w:t>
      </w:r>
      <w:r w:rsidR="001B2FC2" w:rsidRPr="008F3887">
        <w:rPr>
          <w:rFonts w:ascii="Verdana" w:hAnsi="Verdana" w:cs="Times New Roman"/>
        </w:rPr>
        <w:t xml:space="preserve">7,8% wynagrodzenia </w:t>
      </w:r>
      <w:r w:rsidR="00932725" w:rsidRPr="008F3887">
        <w:rPr>
          <w:rFonts w:ascii="Verdana" w:hAnsi="Verdana" w:cs="Times New Roman"/>
        </w:rPr>
        <w:t xml:space="preserve">zasadniczego </w:t>
      </w:r>
      <w:r w:rsidR="0097262A" w:rsidRPr="008F3887">
        <w:rPr>
          <w:rFonts w:ascii="Verdana" w:hAnsi="Verdana" w:cs="Times New Roman"/>
        </w:rPr>
        <w:t xml:space="preserve">ustalonego </w:t>
      </w:r>
      <w:r w:rsidR="001B2FC2" w:rsidRPr="008F3887">
        <w:rPr>
          <w:rFonts w:ascii="Verdana" w:hAnsi="Verdana" w:cs="Times New Roman"/>
        </w:rPr>
        <w:t>na dzień 31.12.2022 r.</w:t>
      </w:r>
      <w:r w:rsidR="00043169" w:rsidRPr="008F3887">
        <w:rPr>
          <w:rFonts w:ascii="Verdana" w:hAnsi="Verdana" w:cs="Times New Roman"/>
        </w:rPr>
        <w:t xml:space="preserve"> </w:t>
      </w:r>
    </w:p>
    <w:p w14:paraId="27C2438E" w14:textId="77777777" w:rsidR="004A15BC" w:rsidRPr="008F3887" w:rsidRDefault="004E1CF8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lastRenderedPageBreak/>
        <w:t>Pracownicy zatrudnieni</w:t>
      </w:r>
      <w:r w:rsidR="00562C0A" w:rsidRPr="008F3887">
        <w:rPr>
          <w:rFonts w:ascii="Verdana" w:hAnsi="Verdana" w:cs="Times New Roman"/>
        </w:rPr>
        <w:t xml:space="preserve"> </w:t>
      </w:r>
      <w:r w:rsidR="004A15BC" w:rsidRPr="008F3887">
        <w:rPr>
          <w:rFonts w:ascii="Verdana" w:hAnsi="Verdana" w:cs="Times New Roman"/>
        </w:rPr>
        <w:t>w niepełnym wymiarze czasu pracy otrzymają podwyżkę w wymiarze proporcjonalnym do wymiaru zatrudnienia, zaokrągloną w „górę” do 1 zł.</w:t>
      </w:r>
    </w:p>
    <w:p w14:paraId="62A66B76" w14:textId="77777777" w:rsidR="00380D0C" w:rsidRPr="008F3887" w:rsidRDefault="00380D0C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Podwyżką wynagrodzenia obj</w:t>
      </w:r>
      <w:r w:rsidR="009633DB" w:rsidRPr="008F3887">
        <w:rPr>
          <w:rFonts w:ascii="Verdana" w:hAnsi="Verdana" w:cs="Times New Roman"/>
        </w:rPr>
        <w:t>ęci</w:t>
      </w:r>
      <w:r w:rsidRPr="008F3887">
        <w:rPr>
          <w:rFonts w:ascii="Verdana" w:hAnsi="Verdana" w:cs="Times New Roman"/>
        </w:rPr>
        <w:t xml:space="preserve"> zostaną </w:t>
      </w:r>
      <w:r w:rsidR="009633DB" w:rsidRPr="008F3887">
        <w:rPr>
          <w:rFonts w:ascii="Verdana" w:hAnsi="Verdana" w:cs="Times New Roman"/>
        </w:rPr>
        <w:t>pracownicy</w:t>
      </w:r>
      <w:r w:rsidRPr="008F3887">
        <w:rPr>
          <w:rFonts w:ascii="Verdana" w:hAnsi="Verdana" w:cs="Times New Roman"/>
        </w:rPr>
        <w:t xml:space="preserve"> będąc</w:t>
      </w:r>
      <w:r w:rsidR="00E6164F" w:rsidRPr="008F3887">
        <w:rPr>
          <w:rFonts w:ascii="Verdana" w:hAnsi="Verdana" w:cs="Times New Roman"/>
        </w:rPr>
        <w:t>y</w:t>
      </w:r>
      <w:r w:rsidRPr="008F3887">
        <w:rPr>
          <w:rFonts w:ascii="Verdana" w:hAnsi="Verdana" w:cs="Times New Roman"/>
        </w:rPr>
        <w:t xml:space="preserve"> pracownikami w dniu zawarcia niniejszego </w:t>
      </w:r>
      <w:r w:rsidR="004E1CF8" w:rsidRPr="008F3887">
        <w:rPr>
          <w:rFonts w:ascii="Verdana" w:hAnsi="Verdana" w:cs="Times New Roman"/>
        </w:rPr>
        <w:t>p</w:t>
      </w:r>
      <w:r w:rsidRPr="008F3887">
        <w:rPr>
          <w:rFonts w:ascii="Verdana" w:hAnsi="Verdana" w:cs="Times New Roman"/>
        </w:rPr>
        <w:t xml:space="preserve">orozumienia, z </w:t>
      </w:r>
      <w:r w:rsidR="004E1CF8" w:rsidRPr="008F3887">
        <w:rPr>
          <w:rFonts w:ascii="Verdana" w:hAnsi="Verdana" w:cs="Times New Roman"/>
        </w:rPr>
        <w:t xml:space="preserve">wyłączeniem </w:t>
      </w:r>
      <w:r w:rsidRPr="008F3887">
        <w:rPr>
          <w:rFonts w:ascii="Verdana" w:hAnsi="Verdana" w:cs="Times New Roman"/>
        </w:rPr>
        <w:t>pracowników:</w:t>
      </w:r>
    </w:p>
    <w:p w14:paraId="257575A5" w14:textId="77777777" w:rsidR="00962DEB" w:rsidRPr="008F3887" w:rsidRDefault="00962DEB" w:rsidP="008F3887">
      <w:pPr>
        <w:pStyle w:val="Akapitzlist"/>
        <w:numPr>
          <w:ilvl w:val="0"/>
          <w:numId w:val="8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zatrudnionych od 1 stycznia 2023 r.</w:t>
      </w:r>
      <w:r w:rsidR="004E1CF8" w:rsidRPr="008F3887">
        <w:rPr>
          <w:rFonts w:ascii="Verdana" w:hAnsi="Verdana" w:cs="Times New Roman"/>
        </w:rPr>
        <w:t xml:space="preserve"> i później. </w:t>
      </w:r>
    </w:p>
    <w:p w14:paraId="74C78AA6" w14:textId="2EBE2029" w:rsidR="00380D0C" w:rsidRPr="008F3887" w:rsidRDefault="00722192" w:rsidP="00DC6559">
      <w:pPr>
        <w:pStyle w:val="Akapitzlist"/>
        <w:numPr>
          <w:ilvl w:val="0"/>
          <w:numId w:val="8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z</w:t>
      </w:r>
      <w:r w:rsidR="00380D0C" w:rsidRPr="008F3887">
        <w:rPr>
          <w:rFonts w:ascii="Verdana" w:hAnsi="Verdana" w:cs="Times New Roman"/>
        </w:rPr>
        <w:t>najdujących się w dniu zawarcia porozumienia w okresie wypowiedzenia</w:t>
      </w:r>
      <w:r w:rsidR="0097262A" w:rsidRPr="008F3887">
        <w:rPr>
          <w:rFonts w:ascii="Verdana" w:hAnsi="Verdana" w:cs="Times New Roman"/>
        </w:rPr>
        <w:t xml:space="preserve"> </w:t>
      </w:r>
      <w:r w:rsidR="00380D0C" w:rsidRPr="008F3887">
        <w:rPr>
          <w:rFonts w:ascii="Verdana" w:hAnsi="Verdana" w:cs="Times New Roman"/>
        </w:rPr>
        <w:t>(z wyłączeniem osób przechodzących na emeryturę lub rentę</w:t>
      </w:r>
      <w:r w:rsidRPr="008F3887">
        <w:rPr>
          <w:rFonts w:ascii="Verdana" w:hAnsi="Verdana" w:cs="Times New Roman"/>
        </w:rPr>
        <w:t>),</w:t>
      </w:r>
    </w:p>
    <w:p w14:paraId="261EEFDA" w14:textId="77777777" w:rsidR="00722192" w:rsidRPr="008F3887" w:rsidRDefault="00722192" w:rsidP="008F3887">
      <w:pPr>
        <w:pStyle w:val="Akapitzlist"/>
        <w:numPr>
          <w:ilvl w:val="0"/>
          <w:numId w:val="8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 xml:space="preserve">których wynagrodzenie opłacane jest z innych źródeł niż subwencja </w:t>
      </w:r>
      <w:proofErr w:type="spellStart"/>
      <w:r w:rsidRPr="008F3887">
        <w:rPr>
          <w:rFonts w:ascii="Verdana" w:hAnsi="Verdana" w:cs="Times New Roman"/>
        </w:rPr>
        <w:t>MEiN</w:t>
      </w:r>
      <w:proofErr w:type="spellEnd"/>
      <w:r w:rsidR="00562C0A" w:rsidRPr="008F3887">
        <w:rPr>
          <w:rFonts w:ascii="Verdana" w:hAnsi="Verdana" w:cs="Times New Roman"/>
        </w:rPr>
        <w:t>,</w:t>
      </w:r>
    </w:p>
    <w:p w14:paraId="0BE44741" w14:textId="77777777" w:rsidR="00722192" w:rsidRPr="008F3887" w:rsidRDefault="00722192" w:rsidP="008F3887">
      <w:pPr>
        <w:pStyle w:val="Akapitzlist"/>
        <w:numPr>
          <w:ilvl w:val="0"/>
          <w:numId w:val="8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przebywających na urlopach bezpłatnych</w:t>
      </w:r>
      <w:r w:rsidR="006426CF" w:rsidRPr="008F3887">
        <w:rPr>
          <w:rFonts w:ascii="Verdana" w:hAnsi="Verdana" w:cs="Times New Roman"/>
        </w:rPr>
        <w:t>,</w:t>
      </w:r>
      <w:r w:rsidRPr="008F3887">
        <w:rPr>
          <w:rFonts w:ascii="Verdana" w:hAnsi="Verdana" w:cs="Times New Roman"/>
        </w:rPr>
        <w:t xml:space="preserve"> wychowawczych</w:t>
      </w:r>
      <w:r w:rsidR="006426CF" w:rsidRPr="008F3887">
        <w:rPr>
          <w:rFonts w:ascii="Verdana" w:hAnsi="Verdana" w:cs="Times New Roman"/>
        </w:rPr>
        <w:t xml:space="preserve"> oraz</w:t>
      </w:r>
      <w:r w:rsidR="004134C8" w:rsidRPr="008F3887">
        <w:rPr>
          <w:rFonts w:ascii="Verdana" w:hAnsi="Verdana" w:cs="Times New Roman"/>
        </w:rPr>
        <w:t xml:space="preserve"> </w:t>
      </w:r>
      <w:r w:rsidR="006426CF" w:rsidRPr="008F3887">
        <w:rPr>
          <w:rFonts w:ascii="Verdana" w:hAnsi="Verdana" w:cs="Times New Roman"/>
        </w:rPr>
        <w:t>świadczeniu rehabilitacyjnym,</w:t>
      </w:r>
      <w:r w:rsidRPr="008F3887">
        <w:rPr>
          <w:rFonts w:ascii="Verdana" w:hAnsi="Verdana" w:cs="Times New Roman"/>
        </w:rPr>
        <w:t xml:space="preserve"> którzy otrzymają podwyżkę po powrocie do pracy</w:t>
      </w:r>
      <w:r w:rsidR="006426CF" w:rsidRPr="008F3887">
        <w:rPr>
          <w:rFonts w:ascii="Verdana" w:hAnsi="Verdana" w:cs="Times New Roman"/>
        </w:rPr>
        <w:t>.</w:t>
      </w:r>
    </w:p>
    <w:p w14:paraId="4F8E3FE9" w14:textId="77777777" w:rsidR="000C221A" w:rsidRPr="008F3887" w:rsidRDefault="000C221A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 xml:space="preserve">Postanowienia  ust. </w:t>
      </w:r>
      <w:r w:rsidR="00932725" w:rsidRPr="008F3887">
        <w:rPr>
          <w:rFonts w:ascii="Verdana" w:hAnsi="Verdana" w:cs="Times New Roman"/>
        </w:rPr>
        <w:t>7</w:t>
      </w:r>
      <w:r w:rsidRPr="008F3887">
        <w:rPr>
          <w:rFonts w:ascii="Verdana" w:hAnsi="Verdana" w:cs="Times New Roman"/>
        </w:rPr>
        <w:t xml:space="preserve">  pkt a</w:t>
      </w:r>
      <w:r w:rsidR="00562C0A" w:rsidRPr="008F3887">
        <w:rPr>
          <w:rFonts w:ascii="Verdana" w:hAnsi="Verdana" w:cs="Times New Roman"/>
        </w:rPr>
        <w:t>.</w:t>
      </w:r>
      <w:r w:rsidRPr="008F3887">
        <w:rPr>
          <w:rFonts w:ascii="Verdana" w:hAnsi="Verdana" w:cs="Times New Roman"/>
        </w:rPr>
        <w:t xml:space="preserve"> nie dotyczy prac</w:t>
      </w:r>
      <w:bookmarkStart w:id="0" w:name="_GoBack"/>
      <w:bookmarkEnd w:id="0"/>
      <w:r w:rsidRPr="008F3887">
        <w:rPr>
          <w:rFonts w:ascii="Verdana" w:hAnsi="Verdana" w:cs="Times New Roman"/>
        </w:rPr>
        <w:t>owników sezonowych oraz pracowników, którzy rozwiązali stosunek pracy w związku z przejściem na emeryturę i nawiązali go ponownie.</w:t>
      </w:r>
    </w:p>
    <w:p w14:paraId="1F36A96F" w14:textId="77777777" w:rsidR="00722192" w:rsidRPr="008F3887" w:rsidRDefault="00722192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 xml:space="preserve">Pracownicy, których wynagrodzenie opłacane jest z innych źródeł niż subwencja </w:t>
      </w:r>
      <w:proofErr w:type="spellStart"/>
      <w:r w:rsidRPr="008F3887">
        <w:rPr>
          <w:rFonts w:ascii="Verdana" w:hAnsi="Verdana" w:cs="Times New Roman"/>
        </w:rPr>
        <w:t>MEiN</w:t>
      </w:r>
      <w:proofErr w:type="spellEnd"/>
      <w:r w:rsidRPr="008F3887">
        <w:rPr>
          <w:rFonts w:ascii="Verdana" w:hAnsi="Verdana" w:cs="Times New Roman"/>
        </w:rPr>
        <w:t>, mogą otrzymać podwyżkę wynagrodzenia na pisemny wniosek dysponentów środków</w:t>
      </w:r>
      <w:r w:rsidR="000C221A" w:rsidRPr="008F3887">
        <w:rPr>
          <w:rFonts w:ascii="Verdana" w:hAnsi="Verdana" w:cs="Times New Roman"/>
        </w:rPr>
        <w:t xml:space="preserve"> potwierdzonych przez </w:t>
      </w:r>
      <w:proofErr w:type="spellStart"/>
      <w:r w:rsidR="000C221A" w:rsidRPr="008F3887">
        <w:rPr>
          <w:rFonts w:ascii="Verdana" w:hAnsi="Verdana" w:cs="Times New Roman"/>
        </w:rPr>
        <w:t>DBiK</w:t>
      </w:r>
      <w:proofErr w:type="spellEnd"/>
      <w:r w:rsidRPr="008F3887">
        <w:rPr>
          <w:rFonts w:ascii="Verdana" w:hAnsi="Verdana" w:cs="Times New Roman"/>
        </w:rPr>
        <w:t>, jeżeli pozwalają na to obowiązujące umowy o finansowanie.</w:t>
      </w:r>
    </w:p>
    <w:p w14:paraId="560B864B" w14:textId="47EBD670" w:rsidR="00722192" w:rsidRPr="008F3887" w:rsidRDefault="00722192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Podwyżki</w:t>
      </w:r>
      <w:r w:rsidR="006426CF" w:rsidRPr="008F3887">
        <w:rPr>
          <w:rFonts w:ascii="Verdana" w:hAnsi="Verdana" w:cs="Times New Roman"/>
        </w:rPr>
        <w:t xml:space="preserve"> </w:t>
      </w:r>
      <w:r w:rsidRPr="008F3887">
        <w:rPr>
          <w:rFonts w:ascii="Verdana" w:hAnsi="Verdana" w:cs="Times New Roman"/>
        </w:rPr>
        <w:t>z wyrównaniem od 1 stycznia 2023 r. wypł</w:t>
      </w:r>
      <w:r w:rsidR="00577FB1" w:rsidRPr="008F3887">
        <w:rPr>
          <w:rFonts w:ascii="Verdana" w:hAnsi="Verdana" w:cs="Times New Roman"/>
        </w:rPr>
        <w:t>acone zostaną nie później niż do</w:t>
      </w:r>
      <w:r w:rsidR="004C2CEE" w:rsidRPr="008F3887">
        <w:rPr>
          <w:rFonts w:ascii="Verdana" w:hAnsi="Verdana" w:cs="Times New Roman"/>
        </w:rPr>
        <w:t xml:space="preserve"> 31 maja 2023 r.</w:t>
      </w:r>
    </w:p>
    <w:p w14:paraId="30B63028" w14:textId="26E510D6" w:rsidR="00F10292" w:rsidRPr="008F3887" w:rsidRDefault="00F10292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 xml:space="preserve">W przypadku </w:t>
      </w:r>
      <w:r w:rsidR="004C2CEE" w:rsidRPr="008F3887">
        <w:rPr>
          <w:rFonts w:ascii="Verdana" w:hAnsi="Verdana" w:cs="Times New Roman"/>
        </w:rPr>
        <w:t>przekazania przez  Ministra  Edukacji i Nauki  dodatkowych środków  na kompensowanie wynagrodzeń minimalnych, zostaną one przekazane na zwiększenie wynagrodzeń.</w:t>
      </w:r>
    </w:p>
    <w:p w14:paraId="6B8334DA" w14:textId="77777777" w:rsidR="008D3F81" w:rsidRPr="008F3887" w:rsidRDefault="008D3F81" w:rsidP="008F3887">
      <w:pPr>
        <w:pStyle w:val="Akapitzlist"/>
        <w:numPr>
          <w:ilvl w:val="0"/>
          <w:numId w:val="1"/>
        </w:numPr>
        <w:spacing w:before="240" w:after="240" w:line="360" w:lineRule="auto"/>
        <w:ind w:hanging="578"/>
        <w:contextualSpacing w:val="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JM Rektor przedstawi związkom zawodowym rozliczenie podwyżki do 30 września 2023.</w:t>
      </w:r>
    </w:p>
    <w:p w14:paraId="5ED95CBC" w14:textId="77777777" w:rsidR="008D3F81" w:rsidRPr="008F3887" w:rsidRDefault="008D3F81" w:rsidP="008F3887">
      <w:pPr>
        <w:pStyle w:val="Akapitzlist"/>
        <w:spacing w:before="240" w:after="240" w:line="360" w:lineRule="auto"/>
        <w:contextualSpacing w:val="0"/>
        <w:rPr>
          <w:rFonts w:ascii="Verdana" w:hAnsi="Verdana" w:cs="Times New Roman"/>
        </w:rPr>
      </w:pPr>
    </w:p>
    <w:p w14:paraId="132BCE87" w14:textId="77777777" w:rsidR="002962C4" w:rsidRPr="008F3887" w:rsidRDefault="002962C4" w:rsidP="008F3887">
      <w:pPr>
        <w:spacing w:before="240" w:after="240" w:line="360" w:lineRule="auto"/>
        <w:ind w:left="5664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JM Rektor</w:t>
      </w:r>
    </w:p>
    <w:p w14:paraId="129EDE5F" w14:textId="77777777" w:rsidR="00E26DC8" w:rsidRPr="008F3887" w:rsidRDefault="00E26DC8" w:rsidP="008F3887">
      <w:pPr>
        <w:spacing w:before="240" w:after="240" w:line="360" w:lineRule="auto"/>
        <w:ind w:left="360"/>
        <w:jc w:val="right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………………………………………………………………….</w:t>
      </w:r>
    </w:p>
    <w:p w14:paraId="73C5A75E" w14:textId="77777777" w:rsidR="002962C4" w:rsidRPr="008F3887" w:rsidRDefault="004A15BC" w:rsidP="008F3887">
      <w:pPr>
        <w:spacing w:before="240" w:after="240" w:line="360" w:lineRule="auto"/>
        <w:ind w:left="5664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p</w:t>
      </w:r>
      <w:r w:rsidR="002962C4" w:rsidRPr="008F3887">
        <w:rPr>
          <w:rFonts w:ascii="Verdana" w:hAnsi="Verdana" w:cs="Times New Roman"/>
        </w:rPr>
        <w:t>rof. dr hab. Ryszard Koziołek</w:t>
      </w:r>
    </w:p>
    <w:p w14:paraId="00B2BE95" w14:textId="77777777" w:rsidR="00722192" w:rsidRPr="008F3887" w:rsidRDefault="002962C4" w:rsidP="008F3887">
      <w:pPr>
        <w:spacing w:before="240" w:after="240" w:line="360" w:lineRule="auto"/>
        <w:ind w:left="36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Prezes Związku Nauczycielstwa Polskiego</w:t>
      </w:r>
    </w:p>
    <w:p w14:paraId="6446104D" w14:textId="77777777" w:rsidR="002962C4" w:rsidRPr="008F3887" w:rsidRDefault="002962C4" w:rsidP="008F3887">
      <w:pPr>
        <w:spacing w:before="240" w:after="240" w:line="360" w:lineRule="auto"/>
        <w:ind w:left="36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………………………………………………………………….</w:t>
      </w:r>
    </w:p>
    <w:p w14:paraId="6EEC4053" w14:textId="77777777" w:rsidR="002962C4" w:rsidRPr="008F3887" w:rsidRDefault="002962C4" w:rsidP="008F3887">
      <w:pPr>
        <w:spacing w:before="240" w:after="240" w:line="360" w:lineRule="auto"/>
        <w:ind w:left="1416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mgr Aneta Trojanowska</w:t>
      </w:r>
    </w:p>
    <w:p w14:paraId="786C9A19" w14:textId="77777777" w:rsidR="002962C4" w:rsidRPr="008F3887" w:rsidRDefault="002962C4" w:rsidP="008F3887">
      <w:pPr>
        <w:spacing w:before="240" w:after="240" w:line="360" w:lineRule="auto"/>
        <w:ind w:left="708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Przewodniczący NSZZ „Solidarność”</w:t>
      </w:r>
    </w:p>
    <w:p w14:paraId="7960AB49" w14:textId="77777777" w:rsidR="002962C4" w:rsidRPr="008F3887" w:rsidRDefault="002962C4" w:rsidP="008F3887">
      <w:pPr>
        <w:spacing w:before="240" w:after="240" w:line="360" w:lineRule="auto"/>
        <w:ind w:left="360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………………………………………………………………….</w:t>
      </w:r>
    </w:p>
    <w:p w14:paraId="0C98199E" w14:textId="77777777" w:rsidR="00AA5567" w:rsidRPr="008F3887" w:rsidRDefault="002962C4" w:rsidP="008F3887">
      <w:pPr>
        <w:spacing w:before="240" w:after="240" w:line="360" w:lineRule="auto"/>
        <w:ind w:left="1416"/>
        <w:rPr>
          <w:rFonts w:ascii="Verdana" w:hAnsi="Verdana" w:cs="Times New Roman"/>
        </w:rPr>
      </w:pPr>
      <w:r w:rsidRPr="008F3887">
        <w:rPr>
          <w:rFonts w:ascii="Verdana" w:hAnsi="Verdana" w:cs="Times New Roman"/>
        </w:rPr>
        <w:t>mgr Krzysztof Pszczółka</w:t>
      </w:r>
    </w:p>
    <w:p w14:paraId="14A1C62C" w14:textId="77777777" w:rsidR="008F3887" w:rsidRPr="008F3887" w:rsidRDefault="008F3887">
      <w:pPr>
        <w:spacing w:before="240" w:after="240" w:line="360" w:lineRule="auto"/>
        <w:ind w:left="1416"/>
        <w:rPr>
          <w:rFonts w:ascii="Verdana" w:hAnsi="Verdana" w:cs="Times New Roman"/>
        </w:rPr>
      </w:pPr>
    </w:p>
    <w:sectPr w:rsidR="008F3887" w:rsidRPr="008F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4A2"/>
    <w:multiLevelType w:val="hybridMultilevel"/>
    <w:tmpl w:val="CFC8E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A01"/>
    <w:multiLevelType w:val="hybridMultilevel"/>
    <w:tmpl w:val="0C9624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F4F7B"/>
    <w:multiLevelType w:val="hybridMultilevel"/>
    <w:tmpl w:val="83942B3E"/>
    <w:lvl w:ilvl="0" w:tplc="4894B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75F58"/>
    <w:multiLevelType w:val="hybridMultilevel"/>
    <w:tmpl w:val="E1CA853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BA3C2F"/>
    <w:multiLevelType w:val="hybridMultilevel"/>
    <w:tmpl w:val="10DC10D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4E477A"/>
    <w:multiLevelType w:val="hybridMultilevel"/>
    <w:tmpl w:val="D0EEB6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D2D5C"/>
    <w:multiLevelType w:val="hybridMultilevel"/>
    <w:tmpl w:val="1420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284F"/>
    <w:multiLevelType w:val="hybridMultilevel"/>
    <w:tmpl w:val="50949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37A7"/>
    <w:multiLevelType w:val="hybridMultilevel"/>
    <w:tmpl w:val="629423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8A5086"/>
    <w:multiLevelType w:val="hybridMultilevel"/>
    <w:tmpl w:val="F31E5CD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0A01F5A"/>
    <w:multiLevelType w:val="hybridMultilevel"/>
    <w:tmpl w:val="2C54F670"/>
    <w:lvl w:ilvl="0" w:tplc="C280471A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AB4E00"/>
    <w:multiLevelType w:val="hybridMultilevel"/>
    <w:tmpl w:val="25B03218"/>
    <w:lvl w:ilvl="0" w:tplc="233873E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2ED5"/>
    <w:multiLevelType w:val="hybridMultilevel"/>
    <w:tmpl w:val="8912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3046B"/>
    <w:multiLevelType w:val="hybridMultilevel"/>
    <w:tmpl w:val="43B85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3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57"/>
    <w:rsid w:val="000204A2"/>
    <w:rsid w:val="00030236"/>
    <w:rsid w:val="00043169"/>
    <w:rsid w:val="00084BBC"/>
    <w:rsid w:val="000C221A"/>
    <w:rsid w:val="000F157F"/>
    <w:rsid w:val="00106FF7"/>
    <w:rsid w:val="00134A57"/>
    <w:rsid w:val="0015577D"/>
    <w:rsid w:val="00160F3B"/>
    <w:rsid w:val="001832BB"/>
    <w:rsid w:val="00186F7B"/>
    <w:rsid w:val="001B2FC2"/>
    <w:rsid w:val="00213075"/>
    <w:rsid w:val="00231157"/>
    <w:rsid w:val="002335F9"/>
    <w:rsid w:val="002962C4"/>
    <w:rsid w:val="002B6869"/>
    <w:rsid w:val="00340A79"/>
    <w:rsid w:val="00374F98"/>
    <w:rsid w:val="00380D0C"/>
    <w:rsid w:val="00391E34"/>
    <w:rsid w:val="00394607"/>
    <w:rsid w:val="00394A90"/>
    <w:rsid w:val="004134C8"/>
    <w:rsid w:val="00424B69"/>
    <w:rsid w:val="004274DE"/>
    <w:rsid w:val="00444889"/>
    <w:rsid w:val="004A15BC"/>
    <w:rsid w:val="004B36DD"/>
    <w:rsid w:val="004C2CEE"/>
    <w:rsid w:val="004E1CF8"/>
    <w:rsid w:val="00562C0A"/>
    <w:rsid w:val="00577FB1"/>
    <w:rsid w:val="005B3B65"/>
    <w:rsid w:val="005C2BB7"/>
    <w:rsid w:val="005F1569"/>
    <w:rsid w:val="005F27BF"/>
    <w:rsid w:val="006426CF"/>
    <w:rsid w:val="00647BD6"/>
    <w:rsid w:val="006831AF"/>
    <w:rsid w:val="006D03A1"/>
    <w:rsid w:val="006F4A2B"/>
    <w:rsid w:val="006F5583"/>
    <w:rsid w:val="00713CFB"/>
    <w:rsid w:val="00722192"/>
    <w:rsid w:val="00722A34"/>
    <w:rsid w:val="00784278"/>
    <w:rsid w:val="00785728"/>
    <w:rsid w:val="007B7C1F"/>
    <w:rsid w:val="00805F2D"/>
    <w:rsid w:val="00894F1E"/>
    <w:rsid w:val="008C56B1"/>
    <w:rsid w:val="008D3F81"/>
    <w:rsid w:val="008F3887"/>
    <w:rsid w:val="00932725"/>
    <w:rsid w:val="0096001A"/>
    <w:rsid w:val="00962DEB"/>
    <w:rsid w:val="009633DB"/>
    <w:rsid w:val="0097262A"/>
    <w:rsid w:val="00987188"/>
    <w:rsid w:val="009F7703"/>
    <w:rsid w:val="00AA5567"/>
    <w:rsid w:val="00B52B13"/>
    <w:rsid w:val="00BF00BE"/>
    <w:rsid w:val="00BF66A6"/>
    <w:rsid w:val="00C029BE"/>
    <w:rsid w:val="00C13CCF"/>
    <w:rsid w:val="00CD10F1"/>
    <w:rsid w:val="00CE491F"/>
    <w:rsid w:val="00CE68A3"/>
    <w:rsid w:val="00DA6953"/>
    <w:rsid w:val="00E26DC8"/>
    <w:rsid w:val="00E32B52"/>
    <w:rsid w:val="00E6164F"/>
    <w:rsid w:val="00E934E4"/>
    <w:rsid w:val="00EC0FE4"/>
    <w:rsid w:val="00EC103A"/>
    <w:rsid w:val="00ED6D11"/>
    <w:rsid w:val="00F10292"/>
    <w:rsid w:val="00F965E3"/>
    <w:rsid w:val="00F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1830"/>
  <w15:docId w15:val="{8F0CFD06-4059-F047-BD4C-78C668CC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A5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728"/>
    <w:pPr>
      <w:ind w:left="720"/>
      <w:contextualSpacing/>
    </w:pPr>
  </w:style>
  <w:style w:type="table" w:styleId="Tabela-Siatka">
    <w:name w:val="Table Grid"/>
    <w:basedOn w:val="Standardowy"/>
    <w:uiPriority w:val="59"/>
    <w:rsid w:val="00EC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A55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1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F3887"/>
    <w:pPr>
      <w:spacing w:after="0" w:line="360" w:lineRule="auto"/>
      <w:jc w:val="center"/>
    </w:pPr>
    <w:rPr>
      <w:b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8F3887"/>
    <w:rPr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E938-A9F5-480B-8810-8E6D4F2A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w sprawie podwyższenia wynagrodzeń pracowników</dc:title>
  <dc:subject>dokument</dc:subject>
  <dc:creator>Beata Zawadzka</dc:creator>
  <cp:keywords>2023</cp:keywords>
  <cp:lastModifiedBy>Agnieszka Szymala</cp:lastModifiedBy>
  <cp:revision>6</cp:revision>
  <cp:lastPrinted>2023-03-29T09:16:00Z</cp:lastPrinted>
  <dcterms:created xsi:type="dcterms:W3CDTF">2023-03-28T11:53:00Z</dcterms:created>
  <dcterms:modified xsi:type="dcterms:W3CDTF">2023-03-30T09:17:00Z</dcterms:modified>
</cp:coreProperties>
</file>