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15 w16se w16cid w16 w16cex w16sdtdh wp14">
  <w:body>
    <w:p w:rsidRPr="0011155D" w:rsidR="00121974" w:rsidP="0011155D" w:rsidRDefault="00121974" w14:paraId="4D005BD2" w14:textId="77777777">
      <w:pPr>
        <w:pStyle w:val="Standard"/>
        <w:spacing w:line="360" w:lineRule="auto"/>
        <w:jc w:val="both"/>
        <w:rPr>
          <w:rFonts w:cs="Times New Roman"/>
        </w:rPr>
      </w:pPr>
      <w:bookmarkStart w:name="irc_mi" w:id="0"/>
      <w:bookmarkEnd w:id="0"/>
    </w:p>
    <w:p w:rsidRPr="0011155D" w:rsidR="00513B17" w:rsidP="0011155D" w:rsidRDefault="00513B17" w14:paraId="4FDA566A" w14:textId="77777777">
      <w:pPr>
        <w:pStyle w:val="Nagwek"/>
        <w:tabs>
          <w:tab w:val="clear" w:pos="4536"/>
          <w:tab w:val="clear" w:pos="9072"/>
          <w:tab w:val="left" w:pos="165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>Załącznik do Uchwały nr…</w:t>
      </w:r>
    </w:p>
    <w:p w:rsidRPr="0011155D" w:rsidR="00513B17" w:rsidP="0011155D" w:rsidRDefault="00376B19" w14:paraId="063207C3" w14:textId="0B270551">
      <w:pPr>
        <w:pStyle w:val="Nagwek"/>
        <w:tabs>
          <w:tab w:val="clear" w:pos="4536"/>
          <w:tab w:val="clear" w:pos="9072"/>
          <w:tab w:val="left" w:pos="165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>Senatu UŚ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z </w:t>
      </w:r>
      <w:r w:rsidRPr="0011155D" w:rsidR="00814361">
        <w:rPr>
          <w:rFonts w:ascii="Times New Roman" w:hAnsi="Times New Roman" w:cs="Times New Roman"/>
          <w:sz w:val="24"/>
          <w:szCs w:val="24"/>
        </w:rPr>
        <w:t>dnia … marca 2024</w:t>
      </w:r>
      <w:r w:rsidRPr="0011155D" w:rsidR="00513B17">
        <w:rPr>
          <w:rFonts w:ascii="Times New Roman" w:hAnsi="Times New Roman" w:cs="Times New Roman"/>
          <w:sz w:val="24"/>
          <w:szCs w:val="24"/>
        </w:rPr>
        <w:t xml:space="preserve"> r.</w:t>
      </w:r>
    </w:p>
    <w:p w:rsidRPr="0011155D" w:rsidR="00513B17" w:rsidP="0011155D" w:rsidRDefault="00513B17" w14:paraId="22952C89" w14:textId="0E801D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8C6" w:rsidP="0011155D" w:rsidRDefault="00C958C6" w14:paraId="63F96F93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9FE" w:rsidP="0011155D" w:rsidRDefault="00EB79FE" w14:paraId="419A4C87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9FE" w:rsidP="0011155D" w:rsidRDefault="00EB79FE" w14:paraId="7FA61D2F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11155D" w:rsidR="00EB79FE" w:rsidP="0011155D" w:rsidRDefault="00EB79FE" w14:paraId="69EB8424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11155D" w:rsidR="00121974" w:rsidP="0011155D" w:rsidRDefault="00A43B95" w14:paraId="21CF62C7" w14:textId="49C0F3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5D">
        <w:rPr>
          <w:rFonts w:ascii="Times New Roman" w:hAnsi="Times New Roman" w:cs="Times New Roman"/>
          <w:b/>
          <w:sz w:val="24"/>
          <w:szCs w:val="24"/>
        </w:rPr>
        <w:t>OCENA JAKOŚCI KSZTAŁCENIA</w:t>
      </w:r>
      <w:r w:rsidRPr="0011155D" w:rsidR="007C3C1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11155D" w:rsidR="00EB4E76">
        <w:rPr>
          <w:rFonts w:ascii="Times New Roman" w:hAnsi="Times New Roman" w:cs="Times New Roman"/>
          <w:b/>
          <w:sz w:val="24"/>
          <w:szCs w:val="24"/>
        </w:rPr>
        <w:t> </w:t>
      </w:r>
      <w:r w:rsidRPr="0011155D">
        <w:rPr>
          <w:rFonts w:ascii="Times New Roman" w:hAnsi="Times New Roman" w:cs="Times New Roman"/>
          <w:b/>
          <w:sz w:val="24"/>
          <w:szCs w:val="24"/>
        </w:rPr>
        <w:t>UNIWERSYTECIE ŚLĄSKIM</w:t>
      </w:r>
      <w:r w:rsidRPr="0011155D" w:rsidR="007C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5D" w:rsidR="00A50791">
        <w:rPr>
          <w:rFonts w:ascii="Times New Roman" w:hAnsi="Times New Roman" w:cs="Times New Roman"/>
          <w:b/>
          <w:sz w:val="24"/>
          <w:szCs w:val="24"/>
        </w:rPr>
        <w:br/>
      </w:r>
      <w:r w:rsidRPr="0011155D" w:rsidR="007C3C1E">
        <w:rPr>
          <w:rFonts w:ascii="Times New Roman" w:hAnsi="Times New Roman" w:cs="Times New Roman"/>
          <w:b/>
          <w:sz w:val="24"/>
          <w:szCs w:val="24"/>
        </w:rPr>
        <w:t>W</w:t>
      </w:r>
      <w:r w:rsidRPr="0011155D" w:rsidR="00EB4E76">
        <w:rPr>
          <w:rFonts w:ascii="Times New Roman" w:hAnsi="Times New Roman" w:cs="Times New Roman"/>
          <w:b/>
          <w:sz w:val="24"/>
          <w:szCs w:val="24"/>
        </w:rPr>
        <w:t> </w:t>
      </w:r>
      <w:r w:rsidRPr="0011155D">
        <w:rPr>
          <w:rFonts w:ascii="Times New Roman" w:hAnsi="Times New Roman" w:cs="Times New Roman"/>
          <w:b/>
          <w:sz w:val="24"/>
          <w:szCs w:val="24"/>
        </w:rPr>
        <w:t xml:space="preserve">ROKU AKADEMICKIM </w:t>
      </w:r>
      <w:r w:rsidRPr="0011155D" w:rsidR="00814361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C958C6" w:rsidP="0011155D" w:rsidRDefault="00C958C6" w14:paraId="7EE0BB58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9FE" w:rsidP="0011155D" w:rsidRDefault="00EB79FE" w14:paraId="34197D96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9FE" w:rsidP="0011155D" w:rsidRDefault="00EB79FE" w14:paraId="31293DC2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11155D" w:rsidR="00EB79FE" w:rsidP="0011155D" w:rsidRDefault="00EB79FE" w14:paraId="32035240" w14:textId="77777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EB79FE" w:rsidR="00121974" w:rsidP="0011155D" w:rsidRDefault="00A43B95" w14:paraId="65DDCDB4" w14:textId="7777777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EB79FE">
        <w:rPr>
          <w:rFonts w:ascii="Times New Roman" w:hAnsi="Times New Roman"/>
          <w:b/>
          <w:bCs/>
          <w:i/>
          <w:iCs/>
          <w:sz w:val="24"/>
          <w:szCs w:val="24"/>
        </w:rPr>
        <w:t>WSTĘP</w:t>
      </w:r>
      <w:r w:rsidRPr="00EB79FE" w:rsidR="00E8736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Pr="0011155D" w:rsidR="00B04DBA" w:rsidP="0011155D" w:rsidRDefault="00B04DBA" w14:paraId="6EECA437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Pr="00226E1B" w:rsidR="00B96266" w:rsidP="00575884" w:rsidRDefault="00575884" w14:paraId="59DF6826" w14:textId="1BE21D09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W r</w:t>
      </w:r>
      <w:r w:rsidRPr="0011155D" w:rsidR="598EBC8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ok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u</w:t>
      </w:r>
      <w:r w:rsidRPr="0011155D" w:rsidR="598EBC8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akademicki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m</w:t>
      </w:r>
      <w:r w:rsidRPr="0011155D" w:rsidR="598EBC8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202</w:t>
      </w:r>
      <w:r w:rsidR="002020D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2</w:t>
      </w:r>
      <w:r w:rsidRPr="0011155D" w:rsidR="598EBC8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/202</w:t>
      </w:r>
      <w:r w:rsidR="002020D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3 w obszarze organizacji dydaktyki finalizowane były prace związane z przygotowaniem do wdrożenia tzw. „Nowej Koncepcji Studiów”, co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 </w:t>
      </w:r>
      <w:r w:rsidR="002020D9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ostatecznie znalazło urzeczywistnienie w postaci uchwał Sen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atu UŚ:</w:t>
      </w:r>
      <w:r w:rsidRPr="00575884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7588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eastAsia="pl-PL"/>
        </w:rPr>
        <w:t>nr 382 z dnia 11 maja 2023 r. w sprawie procesu wdrażania programów studiów I stopnia oraz jednolitych studiów magisterskich zgodnych z założeniami Nowej Koncepcji Studiów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57588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nr 385 z dnia 23 maja 2023 r. w </w:t>
      </w:r>
      <w:r w:rsidRPr="00226E1B"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sprawie wytycznych dotyczących wymagań w zakresie tworzenia i zmiany programów studiów prowadzonych w Uniwersytecie Śląskim w Katowicach</w:t>
      </w:r>
      <w:r w:rsidRPr="00226E1B" w:rsidR="16DC2EB8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  <w:r w:rsidRPr="00226E1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 ich efekcie zmodernizowane zostały programy studiów 45 programów studiów I stopnia i jednolitych studiów magisterskich. Programy pozostałych studiów I stopnia i jednolitych studiów magisterskich </w:t>
      </w:r>
      <w:r w:rsidRPr="00226E1B" w:rsidR="00226E1B">
        <w:rPr>
          <w:rFonts w:ascii="Times New Roman" w:hAnsi="Times New Roman" w:eastAsia="Times New Roman" w:cs="Times New Roman"/>
          <w:sz w:val="24"/>
          <w:szCs w:val="24"/>
          <w:lang w:eastAsia="pl-PL"/>
        </w:rPr>
        <w:t>mają</w:t>
      </w:r>
      <w:r w:rsidRPr="00226E1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zostać dostosowane do postanowień </w:t>
      </w:r>
      <w:r w:rsidRPr="00226E1B" w:rsidR="00226E1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uchwały nr 385/2023 do końca roku </w:t>
      </w:r>
      <w:proofErr w:type="spellStart"/>
      <w:r w:rsidRPr="00226E1B" w:rsidR="00226E1B">
        <w:rPr>
          <w:rFonts w:ascii="Times New Roman" w:hAnsi="Times New Roman" w:eastAsia="Times New Roman" w:cs="Times New Roman"/>
          <w:sz w:val="24"/>
          <w:szCs w:val="24"/>
          <w:lang w:eastAsia="pl-PL"/>
        </w:rPr>
        <w:t>akad</w:t>
      </w:r>
      <w:proofErr w:type="spellEnd"/>
      <w:r w:rsidRPr="00226E1B" w:rsidR="00226E1B">
        <w:rPr>
          <w:rFonts w:ascii="Times New Roman" w:hAnsi="Times New Roman" w:eastAsia="Times New Roman" w:cs="Times New Roman"/>
          <w:sz w:val="24"/>
          <w:szCs w:val="24"/>
          <w:lang w:eastAsia="pl-PL"/>
        </w:rPr>
        <w:t>. 2023/24, z zastrzeżeniem, że wdrożenie modułów obszarowych wspierających kształcenie kierunkowe oraz otwartej oferty modułów jest uzależnione od decyzji właściwych dziekanów, dyrektorów kierunków studiów i rad dydaktycznych kierunków studiów.</w:t>
      </w:r>
    </w:p>
    <w:p w:rsidR="00B96266" w:rsidP="4F062333" w:rsidRDefault="36157A14" w14:paraId="6AAB579D" w14:textId="3C8BC9AE">
      <w:pPr>
        <w:pStyle w:val="Normalny"/>
        <w:suppressLineNumbers w:val="0"/>
        <w:bidi w:val="0"/>
        <w:spacing w:before="0" w:beforeAutospacing="off" w:after="0" w:afterAutospacing="off" w:line="360" w:lineRule="auto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4F062333" w:rsidR="36157A1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roku akademickim 2022/2023 Polska Komisja Akredytacyjna zaplanowała przeprowadzenie wizytacji </w:t>
      </w:r>
      <w:r w:rsidRPr="4F062333" w:rsidR="3D3BBEB3">
        <w:rPr>
          <w:rFonts w:ascii="Times New Roman" w:hAnsi="Times New Roman" w:eastAsia="Times New Roman" w:cs="Times New Roman"/>
          <w:sz w:val="24"/>
          <w:szCs w:val="24"/>
          <w:lang w:eastAsia="pl-PL"/>
        </w:rPr>
        <w:t>na 7 kierunkach Uniwersytetu Śląskiego.</w:t>
      </w:r>
      <w:r w:rsidRPr="4F062333" w:rsidR="21D1537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</w:t>
      </w:r>
      <w:r w:rsidRPr="4F062333" w:rsidR="2CDC998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iemal </w:t>
      </w:r>
      <w:r w:rsidRPr="4F062333" w:rsidR="690DCD92">
        <w:rPr>
          <w:rFonts w:ascii="Times New Roman" w:hAnsi="Times New Roman" w:eastAsia="Times New Roman" w:cs="Times New Roman"/>
          <w:sz w:val="24"/>
          <w:szCs w:val="24"/>
          <w:lang w:eastAsia="pl-PL"/>
        </w:rPr>
        <w:t>w</w:t>
      </w:r>
      <w:r w:rsidRPr="4F062333" w:rsidR="7171B1A7">
        <w:rPr>
          <w:rFonts w:ascii="Times New Roman" w:hAnsi="Times New Roman" w:eastAsia="Times New Roman" w:cs="Times New Roman"/>
          <w:sz w:val="24"/>
          <w:szCs w:val="24"/>
          <w:lang w:eastAsia="pl-PL"/>
        </w:rPr>
        <w:t>szystk</w:t>
      </w:r>
      <w:r w:rsidRPr="4F062333" w:rsidR="16F47B72">
        <w:rPr>
          <w:rFonts w:ascii="Times New Roman" w:hAnsi="Times New Roman" w:eastAsia="Times New Roman" w:cs="Times New Roman"/>
          <w:sz w:val="24"/>
          <w:szCs w:val="24"/>
          <w:lang w:eastAsia="pl-PL"/>
        </w:rPr>
        <w:t>ie</w:t>
      </w:r>
      <w:r w:rsidRPr="4F062333" w:rsidR="69B23FC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te</w:t>
      </w:r>
      <w:r w:rsidRPr="4F062333" w:rsidR="16F47B72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4F062333" w:rsidR="7171B1A7">
        <w:rPr>
          <w:rFonts w:ascii="Times New Roman" w:hAnsi="Times New Roman" w:eastAsia="Times New Roman" w:cs="Times New Roman"/>
          <w:sz w:val="24"/>
          <w:szCs w:val="24"/>
          <w:lang w:eastAsia="pl-PL"/>
        </w:rPr>
        <w:t>wizytacje zrealizowano</w:t>
      </w:r>
      <w:r w:rsidRPr="4F062333" w:rsidR="432F187D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 </w:t>
      </w:r>
      <w:r w:rsidRPr="4F062333" w:rsidR="7171B1A7">
        <w:rPr>
          <w:rFonts w:ascii="Times New Roman" w:hAnsi="Times New Roman" w:eastAsia="Times New Roman" w:cs="Times New Roman"/>
          <w:sz w:val="24"/>
          <w:szCs w:val="24"/>
          <w:lang w:eastAsia="pl-PL"/>
        </w:rPr>
        <w:t>formie zdaln</w:t>
      </w:r>
      <w:r w:rsidRPr="4F062333" w:rsidR="7494808A">
        <w:rPr>
          <w:rFonts w:ascii="Times New Roman" w:hAnsi="Times New Roman" w:eastAsia="Times New Roman" w:cs="Times New Roman"/>
          <w:sz w:val="24"/>
          <w:szCs w:val="24"/>
          <w:lang w:eastAsia="pl-PL"/>
        </w:rPr>
        <w:t>ej</w:t>
      </w:r>
      <w:r w:rsidRPr="4F062333" w:rsidR="048F789B">
        <w:rPr>
          <w:rFonts w:ascii="Times New Roman" w:hAnsi="Times New Roman" w:eastAsia="Times New Roman" w:cs="Times New Roman"/>
          <w:sz w:val="24"/>
          <w:szCs w:val="24"/>
          <w:lang w:eastAsia="pl-PL"/>
        </w:rPr>
        <w:t>. Wyjątkiem była wizytacja na kierunku grafika (WSNE, Cieszyn), która została przeprowadzona w formie stacjonarnej</w:t>
      </w:r>
      <w:r w:rsidRPr="4F062333" w:rsidR="4A60572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[tab</w:t>
      </w:r>
      <w:r w:rsidRPr="4F062333" w:rsidR="58AE6B56">
        <w:rPr>
          <w:rFonts w:ascii="Times New Roman" w:hAnsi="Times New Roman" w:eastAsia="Times New Roman" w:cs="Times New Roman"/>
          <w:sz w:val="24"/>
          <w:szCs w:val="24"/>
          <w:lang w:eastAsia="pl-PL"/>
        </w:rPr>
        <w:t>1</w:t>
      </w:r>
      <w:r w:rsidRPr="4F062333" w:rsidR="4A60572A">
        <w:rPr>
          <w:rFonts w:ascii="Times New Roman" w:hAnsi="Times New Roman" w:eastAsia="Times New Roman" w:cs="Times New Roman"/>
          <w:sz w:val="24"/>
          <w:szCs w:val="24"/>
          <w:lang w:eastAsia="pl-PL"/>
        </w:rPr>
        <w:t>]</w:t>
      </w:r>
      <w:r w:rsidRPr="4F062333" w:rsidR="7171B1A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4F062333" w:rsidR="00226E1B">
        <w:rPr>
          <w:rFonts w:ascii="Times New Roman" w:hAnsi="Times New Roman" w:eastAsia="Times New Roman" w:cs="Times New Roman"/>
          <w:sz w:val="24"/>
          <w:szCs w:val="24"/>
          <w:lang w:eastAsia="pl-PL"/>
        </w:rPr>
        <w:t>Wszystkie wizytacje zakończyły się przyznaniem ocenianym kierunkom ocen pozytywnych.</w:t>
      </w:r>
      <w:r w:rsidRPr="4F062333" w:rsidR="698CF7A2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Dodatkowo dwa kierunk</w:t>
      </w:r>
      <w:r w:rsidRPr="4F062333" w:rsidR="5FA24D5D">
        <w:rPr>
          <w:rFonts w:ascii="Times New Roman" w:hAnsi="Times New Roman" w:eastAsia="Times New Roman" w:cs="Times New Roman"/>
          <w:sz w:val="24"/>
          <w:szCs w:val="24"/>
          <w:lang w:eastAsia="pl-PL"/>
        </w:rPr>
        <w:t>i</w:t>
      </w:r>
      <w:r w:rsidRPr="4F062333" w:rsidR="698CF7A2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– ochrona środowiska z Wydziału Nauk Przyrodniczych i socjologia z Wydziału Nauk Społecznych zostały wyróżnione </w:t>
      </w:r>
      <w:r w:rsidRPr="4F062333" w:rsidR="698CF7A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Certyfikatami Doskonałości Kształcenia</w:t>
      </w:r>
      <w:r w:rsidRPr="4F062333" w:rsidR="698CF7A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przez Polską Komisję Akredytacyjną w kategorii </w:t>
      </w:r>
      <w:r w:rsidRPr="4F062333" w:rsidR="698CF7A2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Doskonały kierunek − doskonałość w kształceniu na kierunku</w:t>
      </w:r>
      <w:r w:rsidRPr="4F062333" w:rsidR="698CF7A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w:rsidRPr="00226E1B" w:rsidR="00EB79FE" w:rsidP="0011155D" w:rsidRDefault="00EB79FE" w14:paraId="7734EA21" w14:textId="51707B78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EB79FE">
        <w:rPr>
          <w:rFonts w:ascii="Times New Roman" w:hAnsi="Times New Roman" w:eastAsia="Times New Roman" w:cs="Times New Roman"/>
          <w:sz w:val="24"/>
          <w:szCs w:val="24"/>
          <w:lang w:eastAsia="pl-PL"/>
        </w:rPr>
        <w:t>W dniach 16-18 listopada 2022 r. odbyła się pierwsza edycja Międzynarodowego Kongresu Jakości Kształcenia (ICEQ) organizowanego przez śląskie uczelnie publiczne wchodzące w skład Konsorcjum Akademickiego – Katowice Miasto Nauki, którego liderem jest Uniwersytet Śląski w Katowicach. Udział w kongresie wzięło 840 uczestników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, zaś wydarzenie został bardzo wysoko ocenione na arenie ogólnopolskiej.</w:t>
      </w:r>
    </w:p>
    <w:p w:rsidRPr="00EB79FE" w:rsidR="00C958C6" w:rsidP="00EB79FE" w:rsidRDefault="00226E1B" w14:paraId="18C4A20D" w14:textId="520DD651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Omawiany rok akademicki był pierwszym, kiedy uruchomiono zajęcia w ramach Ogólnoakademickiej Oferty Dydaktycznej (OOD) w pełnym wymiarze. </w:t>
      </w:r>
      <w:r w:rsidRPr="0011155D" w:rsidR="4A60572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Ważnym działaniem projakościowym wspierającym dydaktykę akademicką</w:t>
      </w:r>
      <w:r w:rsidRPr="0011155D" w:rsidR="432F187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w </w:t>
      </w:r>
      <w:r w:rsidRPr="0011155D" w:rsidR="4A60572A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Uniwersytecie</w:t>
      </w:r>
      <w:r w:rsidRPr="0011155D" w:rsidR="67DAD2B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był również</w:t>
      </w:r>
      <w:r w:rsidRPr="0011155D" w:rsidR="7DAC789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1155D" w:rsidR="4F4822A5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program p.n. </w:t>
      </w:r>
      <w:r w:rsidRPr="0011155D" w:rsidR="16DC2EB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eastAsia="pl-PL"/>
        </w:rPr>
        <w:t>System Motywacyjny</w:t>
      </w:r>
      <w:r w:rsidRPr="0011155D" w:rsidR="432F187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w </w:t>
      </w:r>
      <w:r w:rsidRPr="0011155D" w:rsidR="16DC2EB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eastAsia="pl-PL"/>
        </w:rPr>
        <w:t>Dydaktyce Akademickiej Uniwersytetu Śląskiego</w:t>
      </w:r>
      <w:r w:rsidRPr="0011155D" w:rsidR="432F187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w </w:t>
      </w:r>
      <w:r w:rsidRPr="0011155D" w:rsidR="16DC2EB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eastAsia="pl-PL"/>
        </w:rPr>
        <w:t>Katowicach</w:t>
      </w:r>
      <w:r w:rsidRPr="0011155D" w:rsidR="16DC2EB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11155D" w:rsidR="16DC2EB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SMoDA</w:t>
      </w:r>
      <w:proofErr w:type="spellEnd"/>
      <w:r w:rsidRPr="0011155D" w:rsidR="16DC2EB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)</w:t>
      </w:r>
      <w:r w:rsidR="00D25DC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w ramach którego przyznano w szczególności 100 w</w:t>
      </w:r>
      <w:r w:rsidRPr="00D25DC8" w:rsidR="00D25DC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yróżnie</w:t>
      </w:r>
      <w:r w:rsidR="00D25DC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ń</w:t>
      </w:r>
      <w:r w:rsidRPr="00D25DC8" w:rsidR="00D25DC8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 JM Rektora Uniwersytetu Śląskiego w Katowicach za doskonałą dydaktykę w roku akademickim 2022/2023</w:t>
      </w:r>
      <w:r w:rsidRPr="0011155D" w:rsidR="67DAD2B7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17245" w:rsidRDefault="00517245" w14:paraId="48A0AA30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Pr="0011155D" w:rsidR="00121974" w:rsidP="0011155D" w:rsidRDefault="00101EB1" w14:paraId="07100378" w14:textId="7882AFD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55D">
        <w:rPr>
          <w:rFonts w:ascii="Times New Roman" w:hAnsi="Times New Roman"/>
          <w:b/>
          <w:bCs/>
          <w:sz w:val="24"/>
          <w:szCs w:val="24"/>
        </w:rPr>
        <w:lastRenderedPageBreak/>
        <w:t>INNOWACJE DYDAKTYCZNE</w:t>
      </w:r>
    </w:p>
    <w:p w:rsidRPr="0011155D" w:rsidR="00672089" w:rsidP="0011155D" w:rsidRDefault="00672089" w14:paraId="29A50268" w14:textId="0779D9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11155D" w:rsidR="00672089" w:rsidP="0011155D" w:rsidRDefault="0C24A28D" w14:paraId="689A0CD7" w14:textId="07A50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>Działania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 w:rsidR="67DAD2B7">
        <w:rPr>
          <w:rFonts w:ascii="Times New Roman" w:hAnsi="Times New Roman" w:cs="Times New Roman"/>
          <w:sz w:val="24"/>
          <w:szCs w:val="24"/>
        </w:rPr>
        <w:t xml:space="preserve">zakresie </w:t>
      </w:r>
      <w:r w:rsidRPr="0011155D">
        <w:rPr>
          <w:rFonts w:ascii="Times New Roman" w:hAnsi="Times New Roman" w:cs="Times New Roman"/>
          <w:sz w:val="24"/>
          <w:szCs w:val="24"/>
        </w:rPr>
        <w:t>zapewniania wysokiej jakości kształcenia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 xml:space="preserve">Uniwersytecie nie mogą </w:t>
      </w:r>
      <w:r w:rsidRPr="0011155D" w:rsidR="6992E2F8">
        <w:rPr>
          <w:rFonts w:ascii="Times New Roman" w:hAnsi="Times New Roman" w:cs="Times New Roman"/>
          <w:sz w:val="24"/>
          <w:szCs w:val="24"/>
        </w:rPr>
        <w:t>zawężać się do tego jednego celu</w:t>
      </w:r>
      <w:r w:rsidRPr="0011155D">
        <w:rPr>
          <w:rFonts w:ascii="Times New Roman" w:hAnsi="Times New Roman" w:cs="Times New Roman"/>
          <w:sz w:val="24"/>
          <w:szCs w:val="24"/>
        </w:rPr>
        <w:t xml:space="preserve">. Problemy </w:t>
      </w:r>
      <w:r w:rsidRPr="0011155D" w:rsidR="6992E2F8">
        <w:rPr>
          <w:rFonts w:ascii="Times New Roman" w:hAnsi="Times New Roman" w:cs="Times New Roman"/>
          <w:sz w:val="24"/>
          <w:szCs w:val="24"/>
        </w:rPr>
        <w:t>mieszczące się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>obszar</w:t>
      </w:r>
      <w:r w:rsidRPr="0011155D" w:rsidR="6992E2F8">
        <w:rPr>
          <w:rFonts w:ascii="Times New Roman" w:hAnsi="Times New Roman" w:cs="Times New Roman"/>
          <w:sz w:val="24"/>
          <w:szCs w:val="24"/>
        </w:rPr>
        <w:t>ze</w:t>
      </w:r>
      <w:r w:rsidRPr="0011155D">
        <w:rPr>
          <w:rFonts w:ascii="Times New Roman" w:hAnsi="Times New Roman" w:cs="Times New Roman"/>
          <w:sz w:val="24"/>
          <w:szCs w:val="24"/>
        </w:rPr>
        <w:t xml:space="preserve"> aktywności kształceniowej należy traktować jako proces, które to podejście przekracza zagadnienie zapewniania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i </w:t>
      </w:r>
      <w:r w:rsidRPr="0011155D">
        <w:rPr>
          <w:rFonts w:ascii="Times New Roman" w:hAnsi="Times New Roman" w:cs="Times New Roman"/>
          <w:sz w:val="24"/>
          <w:szCs w:val="24"/>
        </w:rPr>
        <w:t>wskazuje na potrzebę doskonalenia czyli rozwijania  najlepszych wzorców  działalności, modernizowania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>zakresie tych elementów, które zmiany wymagają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i </w:t>
      </w:r>
      <w:r w:rsidRPr="0011155D">
        <w:rPr>
          <w:rFonts w:ascii="Times New Roman" w:hAnsi="Times New Roman" w:cs="Times New Roman"/>
          <w:sz w:val="24"/>
          <w:szCs w:val="24"/>
        </w:rPr>
        <w:t>wzbogacania o nowe elementy</w:t>
      </w:r>
      <w:r w:rsidRPr="0011155D" w:rsidR="07D80248">
        <w:rPr>
          <w:rFonts w:ascii="Times New Roman" w:hAnsi="Times New Roman" w:cs="Times New Roman"/>
          <w:sz w:val="24"/>
          <w:szCs w:val="24"/>
        </w:rPr>
        <w:t>.</w:t>
      </w:r>
      <w:r w:rsidRPr="0011155D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07D80248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2B6F42F8">
        <w:rPr>
          <w:rFonts w:ascii="Times New Roman" w:hAnsi="Times New Roman" w:cs="Times New Roman"/>
          <w:sz w:val="24"/>
          <w:szCs w:val="24"/>
        </w:rPr>
        <w:t>Uwzględniając</w:t>
      </w:r>
      <w:r w:rsidRPr="0011155D" w:rsidR="6992E2F8">
        <w:rPr>
          <w:rFonts w:ascii="Times New Roman" w:hAnsi="Times New Roman" w:cs="Times New Roman"/>
          <w:sz w:val="24"/>
          <w:szCs w:val="24"/>
        </w:rPr>
        <w:t xml:space="preserve"> takie podejście do rozumienia zagadnień projakościowych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 w:rsidR="6992E2F8">
        <w:rPr>
          <w:rFonts w:ascii="Times New Roman" w:hAnsi="Times New Roman" w:cs="Times New Roman"/>
          <w:sz w:val="24"/>
          <w:szCs w:val="24"/>
        </w:rPr>
        <w:t>dydaktyce,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 w:rsidR="07D80248">
        <w:rPr>
          <w:rFonts w:ascii="Times New Roman" w:hAnsi="Times New Roman" w:cs="Times New Roman"/>
          <w:sz w:val="24"/>
          <w:szCs w:val="24"/>
        </w:rPr>
        <w:t>analizowanym okresie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 w:rsidR="6992E2F8">
        <w:rPr>
          <w:rFonts w:ascii="Times New Roman" w:hAnsi="Times New Roman" w:cs="Times New Roman"/>
          <w:sz w:val="24"/>
          <w:szCs w:val="24"/>
        </w:rPr>
        <w:t>Uniwersytecie</w:t>
      </w:r>
      <w:r w:rsidRPr="0011155D" w:rsidR="07D80248">
        <w:rPr>
          <w:rFonts w:ascii="Times New Roman" w:hAnsi="Times New Roman" w:cs="Times New Roman"/>
          <w:sz w:val="24"/>
          <w:szCs w:val="24"/>
        </w:rPr>
        <w:t xml:space="preserve"> podjęto szereg działań doskonalących</w:t>
      </w:r>
      <w:r w:rsidRPr="0011155D" w:rsidR="6992E2F8">
        <w:rPr>
          <w:rFonts w:ascii="Times New Roman" w:hAnsi="Times New Roman" w:cs="Times New Roman"/>
          <w:sz w:val="24"/>
          <w:szCs w:val="24"/>
        </w:rPr>
        <w:t>:</w:t>
      </w:r>
      <w:r w:rsidRPr="0011155D" w:rsidR="07D80248">
        <w:rPr>
          <w:rFonts w:ascii="Times New Roman" w:hAnsi="Times New Roman" w:cs="Times New Roman"/>
          <w:sz w:val="24"/>
          <w:szCs w:val="24"/>
        </w:rPr>
        <w:t xml:space="preserve"> </w:t>
      </w:r>
      <w:r w:rsidRPr="0011155D">
        <w:rPr>
          <w:rFonts w:ascii="Times New Roman" w:hAnsi="Times New Roman" w:cs="Times New Roman"/>
          <w:sz w:val="24"/>
          <w:szCs w:val="24"/>
        </w:rPr>
        <w:t xml:space="preserve">  </w:t>
      </w:r>
      <w:r w:rsidRPr="0011155D" w:rsidR="67DAD2B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1155D" w:rsidR="009259BE" w:rsidP="0011155D" w:rsidRDefault="009259BE" w14:paraId="3C03C54D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1155D" w:rsidR="003A33BC" w:rsidP="0011155D" w:rsidRDefault="00D8457D" w14:paraId="4FAF923A" w14:textId="39A4332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1155D">
        <w:rPr>
          <w:rFonts w:ascii="Times New Roman" w:hAnsi="Times New Roman"/>
          <w:b/>
          <w:bCs/>
          <w:i/>
          <w:iCs/>
          <w:sz w:val="24"/>
          <w:szCs w:val="24"/>
        </w:rPr>
        <w:t>Ogólnoakademicka</w:t>
      </w:r>
      <w:proofErr w:type="spellEnd"/>
      <w:r w:rsidRPr="0011155D">
        <w:rPr>
          <w:rFonts w:ascii="Times New Roman" w:hAnsi="Times New Roman"/>
          <w:b/>
          <w:bCs/>
          <w:i/>
          <w:iCs/>
          <w:sz w:val="24"/>
          <w:szCs w:val="24"/>
        </w:rPr>
        <w:t xml:space="preserve"> Oferta Dydaktyczna</w:t>
      </w:r>
      <w:r w:rsidRPr="0011155D">
        <w:rPr>
          <w:rFonts w:ascii="Times New Roman" w:hAnsi="Times New Roman"/>
          <w:b/>
          <w:bCs/>
          <w:sz w:val="24"/>
          <w:szCs w:val="24"/>
        </w:rPr>
        <w:t xml:space="preserve"> (OOD)</w:t>
      </w:r>
      <w:r w:rsidRPr="0011155D" w:rsidR="007C32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Pr="0011155D" w:rsidR="00217F5A" w:rsidP="0011155D" w:rsidRDefault="007C32E3" w14:paraId="04A8EE64" w14:textId="5646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>to oferta przedmiotów do realizacji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>ramach studiów drugiego stopnia na</w:t>
      </w:r>
      <w:r w:rsidR="0029792E">
        <w:rPr>
          <w:rFonts w:ascii="Times New Roman" w:hAnsi="Times New Roman" w:cs="Times New Roman"/>
          <w:sz w:val="24"/>
          <w:szCs w:val="24"/>
        </w:rPr>
        <w:t> </w:t>
      </w:r>
      <w:r w:rsidRPr="0011155D">
        <w:rPr>
          <w:rFonts w:ascii="Times New Roman" w:hAnsi="Times New Roman" w:cs="Times New Roman"/>
          <w:sz w:val="24"/>
          <w:szCs w:val="24"/>
        </w:rPr>
        <w:t>poziomie ogólnouczelnianym, przewidzianych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>planach studiów poszczególnych kierunków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 xml:space="preserve">postaci zapisu: „moduł ogólnoakademicki”, „moduł ogólnoakademicki (społeczny)”, „moduł ogólnoakademicki (humanistyczny)”. </w:t>
      </w:r>
      <w:r w:rsidRPr="0011155D" w:rsidR="00217F5A">
        <w:rPr>
          <w:rFonts w:ascii="Times New Roman" w:hAnsi="Times New Roman" w:cs="Times New Roman"/>
          <w:sz w:val="24"/>
          <w:szCs w:val="24"/>
        </w:rPr>
        <w:t>Formuła ma za zadanie wzbogacić treści kształcenia kierunkowego o elementy odpowiadające na zainter</w:t>
      </w:r>
      <w:r w:rsidRPr="0011155D" w:rsidR="00CB2BAB">
        <w:rPr>
          <w:rFonts w:ascii="Times New Roman" w:hAnsi="Times New Roman" w:cs="Times New Roman"/>
          <w:sz w:val="24"/>
          <w:szCs w:val="24"/>
        </w:rPr>
        <w:t>esowania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i </w:t>
      </w:r>
      <w:r w:rsidRPr="0011155D" w:rsidR="00CB2BAB">
        <w:rPr>
          <w:rFonts w:ascii="Times New Roman" w:hAnsi="Times New Roman" w:cs="Times New Roman"/>
          <w:sz w:val="24"/>
          <w:szCs w:val="24"/>
        </w:rPr>
        <w:t>potrzeby studentów. B</w:t>
      </w:r>
      <w:r w:rsidRPr="0011155D" w:rsidR="00217F5A">
        <w:rPr>
          <w:rFonts w:ascii="Times New Roman" w:hAnsi="Times New Roman" w:cs="Times New Roman"/>
          <w:sz w:val="24"/>
          <w:szCs w:val="24"/>
        </w:rPr>
        <w:t>udowana jest corocznie,</w:t>
      </w:r>
      <w:r w:rsidRPr="0011155D" w:rsidR="00751F34">
        <w:rPr>
          <w:rFonts w:ascii="Times New Roman" w:hAnsi="Times New Roman" w:cs="Times New Roman"/>
          <w:sz w:val="24"/>
          <w:szCs w:val="24"/>
        </w:rPr>
        <w:t xml:space="preserve"> a </w:t>
      </w:r>
      <w:r w:rsidRPr="0011155D" w:rsidR="00217F5A">
        <w:rPr>
          <w:rFonts w:ascii="Times New Roman" w:hAnsi="Times New Roman" w:cs="Times New Roman"/>
          <w:sz w:val="24"/>
          <w:szCs w:val="24"/>
        </w:rPr>
        <w:t>za jej ostateczny kształt odpowiedzialna jest Rada OOD powoływana przez Rektora</w:t>
      </w:r>
      <w:r w:rsidRPr="0011155D" w:rsidR="11D64479">
        <w:rPr>
          <w:rFonts w:ascii="Times New Roman" w:hAnsi="Times New Roman" w:cs="Times New Roman"/>
          <w:sz w:val="24"/>
          <w:szCs w:val="24"/>
        </w:rPr>
        <w:t>:</w:t>
      </w:r>
      <w:r w:rsidRPr="0011155D" w:rsidR="001761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11155D" w:rsidR="001761FE">
          <w:rPr>
            <w:rStyle w:val="Hipercze"/>
            <w:rFonts w:ascii="Times New Roman" w:hAnsi="Times New Roman" w:cs="Times New Roman"/>
            <w:sz w:val="24"/>
            <w:szCs w:val="24"/>
          </w:rPr>
          <w:t>https://us.edu.pl/pracownik/sprawy-dydaktyczne/pion-ksztalcenia/ogolnoakademicka-oferta-dydaktyczna/rada-ood/</w:t>
        </w:r>
      </w:hyperlink>
      <w:r w:rsidRPr="0011155D" w:rsidR="001761FE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00217F5A">
        <w:rPr>
          <w:rFonts w:ascii="Times New Roman" w:hAnsi="Times New Roman" w:cs="Times New Roman"/>
          <w:sz w:val="24"/>
          <w:szCs w:val="24"/>
        </w:rPr>
        <w:t xml:space="preserve"> </w:t>
      </w:r>
      <w:r w:rsidRPr="0011155D">
        <w:rPr>
          <w:rFonts w:ascii="Times New Roman" w:hAnsi="Times New Roman" w:cs="Times New Roman"/>
          <w:sz w:val="24"/>
          <w:szCs w:val="24"/>
        </w:rPr>
        <w:br/>
      </w:r>
      <w:r w:rsidRPr="0011155D" w:rsidR="00217F5A">
        <w:rPr>
          <w:rFonts w:ascii="Times New Roman" w:hAnsi="Times New Roman" w:cs="Times New Roman"/>
          <w:sz w:val="24"/>
          <w:szCs w:val="24"/>
        </w:rPr>
        <w:t xml:space="preserve">Propozycje modułów do </w:t>
      </w:r>
      <w:r w:rsidRPr="0011155D">
        <w:rPr>
          <w:rFonts w:ascii="Times New Roman" w:hAnsi="Times New Roman" w:cs="Times New Roman"/>
          <w:sz w:val="24"/>
          <w:szCs w:val="24"/>
        </w:rPr>
        <w:t>wyboru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 xml:space="preserve">ramach </w:t>
      </w:r>
      <w:r w:rsidRPr="0011155D" w:rsidR="00217F5A">
        <w:rPr>
          <w:rFonts w:ascii="Times New Roman" w:hAnsi="Times New Roman" w:cs="Times New Roman"/>
          <w:sz w:val="24"/>
          <w:szCs w:val="24"/>
        </w:rPr>
        <w:t>OOD zgłosić może każdy nauczyciel akademicki</w:t>
      </w:r>
      <w:r w:rsidRPr="0011155D">
        <w:rPr>
          <w:rFonts w:ascii="Times New Roman" w:hAnsi="Times New Roman" w:cs="Times New Roman"/>
          <w:sz w:val="24"/>
          <w:szCs w:val="24"/>
        </w:rPr>
        <w:t>, uwzględniając warunki określone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>Regulaminie</w:t>
      </w:r>
      <w:r w:rsidRPr="0011155D" w:rsidR="001761FE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>
        <w:r w:rsidRPr="0011155D" w:rsidR="001761FE">
          <w:rPr>
            <w:rStyle w:val="Hipercze"/>
            <w:rFonts w:ascii="Times New Roman" w:hAnsi="Times New Roman" w:cs="Times New Roman"/>
            <w:sz w:val="24"/>
            <w:szCs w:val="24"/>
          </w:rPr>
          <w:t>https://us.edu.pl/pracownik/sprawy-dydaktyczne/pion-ksztalcenia/ogolnoakademicka-oferta-dydaktyczna/</w:t>
        </w:r>
      </w:hyperlink>
      <w:r w:rsidRPr="0011155D" w:rsidR="001761FE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00217F5A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11155D" w:rsidR="001761FE" w:rsidP="0011155D" w:rsidRDefault="6CCD8ECB" w14:paraId="60D54AC5" w14:textId="59697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>Konkurs na propozycje modułów do of</w:t>
      </w:r>
      <w:r w:rsidRPr="0011155D" w:rsidR="3F615323">
        <w:rPr>
          <w:rFonts w:ascii="Times New Roman" w:hAnsi="Times New Roman" w:cs="Times New Roman"/>
          <w:sz w:val="24"/>
          <w:szCs w:val="24"/>
        </w:rPr>
        <w:t>e</w:t>
      </w:r>
      <w:r w:rsidRPr="0011155D">
        <w:rPr>
          <w:rFonts w:ascii="Times New Roman" w:hAnsi="Times New Roman" w:cs="Times New Roman"/>
          <w:sz w:val="24"/>
          <w:szCs w:val="24"/>
        </w:rPr>
        <w:t>rty na rok 2022/2023 został ogłoszony</w:t>
      </w:r>
      <w:r w:rsidRPr="0011155D" w:rsidR="007C32E3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0040200B">
        <w:rPr>
          <w:rFonts w:ascii="Times New Roman" w:hAnsi="Times New Roman" w:cs="Times New Roman"/>
          <w:sz w:val="24"/>
          <w:szCs w:val="24"/>
        </w:rPr>
        <w:t>1 lutego 202</w:t>
      </w:r>
      <w:r w:rsidRPr="0011155D" w:rsidR="486FE60A">
        <w:rPr>
          <w:rFonts w:ascii="Times New Roman" w:hAnsi="Times New Roman" w:cs="Times New Roman"/>
          <w:sz w:val="24"/>
          <w:szCs w:val="24"/>
        </w:rPr>
        <w:t>3</w:t>
      </w:r>
      <w:r w:rsidRPr="0011155D" w:rsidR="0040200B">
        <w:rPr>
          <w:rFonts w:ascii="Times New Roman" w:hAnsi="Times New Roman" w:cs="Times New Roman"/>
          <w:sz w:val="24"/>
          <w:szCs w:val="24"/>
        </w:rPr>
        <w:t xml:space="preserve"> r</w:t>
      </w:r>
      <w:r w:rsidRPr="0011155D" w:rsidR="007C32E3">
        <w:rPr>
          <w:rFonts w:ascii="Times New Roman" w:hAnsi="Times New Roman" w:cs="Times New Roman"/>
          <w:sz w:val="24"/>
          <w:szCs w:val="24"/>
        </w:rPr>
        <w:t>oku</w:t>
      </w:r>
      <w:r w:rsidRPr="0011155D" w:rsidR="53C5E5E4">
        <w:rPr>
          <w:rFonts w:ascii="Times New Roman" w:hAnsi="Times New Roman" w:cs="Times New Roman"/>
          <w:sz w:val="24"/>
          <w:szCs w:val="24"/>
        </w:rPr>
        <w:t>.</w:t>
      </w:r>
      <w:r w:rsidRPr="0011155D" w:rsidR="007C32E3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2A7D7D9F">
        <w:rPr>
          <w:rFonts w:ascii="Times New Roman" w:hAnsi="Times New Roman" w:cs="Times New Roman"/>
          <w:sz w:val="24"/>
          <w:szCs w:val="24"/>
        </w:rPr>
        <w:t>P</w:t>
      </w:r>
      <w:r w:rsidRPr="0011155D" w:rsidR="0040200B">
        <w:rPr>
          <w:rFonts w:ascii="Times New Roman" w:hAnsi="Times New Roman" w:cs="Times New Roman"/>
          <w:sz w:val="24"/>
          <w:szCs w:val="24"/>
        </w:rPr>
        <w:t>rzesłan</w:t>
      </w:r>
      <w:r w:rsidRPr="0011155D" w:rsidR="007C32E3">
        <w:rPr>
          <w:rFonts w:ascii="Times New Roman" w:hAnsi="Times New Roman" w:cs="Times New Roman"/>
          <w:sz w:val="24"/>
          <w:szCs w:val="24"/>
        </w:rPr>
        <w:t>o</w:t>
      </w:r>
      <w:r w:rsidRPr="0011155D" w:rsidR="5784F411"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11155D" w:rsidR="0040200B">
        <w:rPr>
          <w:rFonts w:ascii="Times New Roman" w:hAnsi="Times New Roman" w:cs="Times New Roman"/>
          <w:sz w:val="24"/>
          <w:szCs w:val="24"/>
        </w:rPr>
        <w:t xml:space="preserve"> 2</w:t>
      </w:r>
      <w:r w:rsidRPr="0011155D" w:rsidR="09BC76F2">
        <w:rPr>
          <w:rFonts w:ascii="Times New Roman" w:hAnsi="Times New Roman" w:cs="Times New Roman"/>
          <w:sz w:val="24"/>
          <w:szCs w:val="24"/>
        </w:rPr>
        <w:t>11</w:t>
      </w:r>
      <w:r w:rsidRPr="0011155D" w:rsidR="0040200B">
        <w:rPr>
          <w:rFonts w:ascii="Times New Roman" w:hAnsi="Times New Roman" w:cs="Times New Roman"/>
          <w:sz w:val="24"/>
          <w:szCs w:val="24"/>
        </w:rPr>
        <w:t xml:space="preserve"> propozycji </w:t>
      </w:r>
      <w:r w:rsidRPr="0011155D" w:rsidR="007C32E3">
        <w:rPr>
          <w:rFonts w:ascii="Times New Roman" w:hAnsi="Times New Roman" w:cs="Times New Roman"/>
          <w:sz w:val="24"/>
          <w:szCs w:val="24"/>
        </w:rPr>
        <w:t>modułów,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z </w:t>
      </w:r>
      <w:r w:rsidRPr="0011155D" w:rsidR="007C32E3">
        <w:rPr>
          <w:rFonts w:ascii="Times New Roman" w:hAnsi="Times New Roman" w:cs="Times New Roman"/>
          <w:sz w:val="24"/>
          <w:szCs w:val="24"/>
        </w:rPr>
        <w:t xml:space="preserve">której to grupy </w:t>
      </w:r>
      <w:r w:rsidRPr="0011155D" w:rsidR="0040200B">
        <w:rPr>
          <w:rFonts w:ascii="Times New Roman" w:hAnsi="Times New Roman" w:cs="Times New Roman"/>
          <w:sz w:val="24"/>
          <w:szCs w:val="24"/>
        </w:rPr>
        <w:t xml:space="preserve">Rada </w:t>
      </w:r>
      <w:r w:rsidRPr="0011155D" w:rsidR="007C32E3">
        <w:rPr>
          <w:rFonts w:ascii="Times New Roman" w:hAnsi="Times New Roman" w:cs="Times New Roman"/>
          <w:sz w:val="24"/>
          <w:szCs w:val="24"/>
        </w:rPr>
        <w:t xml:space="preserve">OOD </w:t>
      </w:r>
      <w:r w:rsidRPr="0011155D" w:rsidR="0040200B">
        <w:rPr>
          <w:rFonts w:ascii="Times New Roman" w:hAnsi="Times New Roman" w:cs="Times New Roman"/>
          <w:sz w:val="24"/>
          <w:szCs w:val="24"/>
        </w:rPr>
        <w:t xml:space="preserve">wyłoniła </w:t>
      </w:r>
      <w:r w:rsidRPr="0011155D" w:rsidR="7BBECB61">
        <w:rPr>
          <w:rFonts w:ascii="Times New Roman" w:hAnsi="Times New Roman" w:cs="Times New Roman"/>
          <w:sz w:val="24"/>
          <w:szCs w:val="24"/>
        </w:rPr>
        <w:t>44</w:t>
      </w:r>
      <w:r w:rsidR="0029792E">
        <w:rPr>
          <w:rFonts w:ascii="Times New Roman" w:hAnsi="Times New Roman" w:cs="Times New Roman"/>
          <w:sz w:val="24"/>
          <w:szCs w:val="24"/>
        </w:rPr>
        <w:t> </w:t>
      </w:r>
      <w:r w:rsidRPr="0011155D" w:rsidR="0040200B">
        <w:rPr>
          <w:rFonts w:ascii="Times New Roman" w:hAnsi="Times New Roman" w:cs="Times New Roman"/>
          <w:sz w:val="24"/>
          <w:szCs w:val="24"/>
        </w:rPr>
        <w:t>moduł</w:t>
      </w:r>
      <w:r w:rsidRPr="0011155D" w:rsidR="2B72B96A">
        <w:rPr>
          <w:rFonts w:ascii="Times New Roman" w:hAnsi="Times New Roman" w:cs="Times New Roman"/>
          <w:sz w:val="24"/>
          <w:szCs w:val="24"/>
        </w:rPr>
        <w:t>y</w:t>
      </w:r>
      <w:r w:rsidRPr="0011155D" w:rsidR="0040200B">
        <w:rPr>
          <w:rFonts w:ascii="Times New Roman" w:hAnsi="Times New Roman" w:cs="Times New Roman"/>
          <w:sz w:val="24"/>
          <w:szCs w:val="24"/>
        </w:rPr>
        <w:t xml:space="preserve"> ogólnoakademicki</w:t>
      </w:r>
      <w:r w:rsidRPr="0011155D" w:rsidR="0146B8CA">
        <w:rPr>
          <w:rFonts w:ascii="Times New Roman" w:hAnsi="Times New Roman" w:cs="Times New Roman"/>
          <w:sz w:val="24"/>
          <w:szCs w:val="24"/>
        </w:rPr>
        <w:t>e</w:t>
      </w:r>
      <w:r w:rsidRPr="0011155D" w:rsidR="0040200B">
        <w:rPr>
          <w:rFonts w:ascii="Times New Roman" w:hAnsi="Times New Roman" w:cs="Times New Roman"/>
          <w:sz w:val="24"/>
          <w:szCs w:val="24"/>
        </w:rPr>
        <w:t xml:space="preserve">, </w:t>
      </w:r>
      <w:r w:rsidRPr="0011155D" w:rsidR="08F868BA">
        <w:rPr>
          <w:rFonts w:ascii="Times New Roman" w:hAnsi="Times New Roman" w:cs="Times New Roman"/>
          <w:sz w:val="24"/>
          <w:szCs w:val="24"/>
        </w:rPr>
        <w:t>32 moduły ogólnoakademickie (</w:t>
      </w:r>
      <w:r w:rsidRPr="0011155D" w:rsidR="0040200B">
        <w:rPr>
          <w:rFonts w:ascii="Times New Roman" w:hAnsi="Times New Roman" w:cs="Times New Roman"/>
          <w:sz w:val="24"/>
          <w:szCs w:val="24"/>
        </w:rPr>
        <w:t>społeczn</w:t>
      </w:r>
      <w:r w:rsidRPr="0011155D" w:rsidR="4251F239">
        <w:rPr>
          <w:rFonts w:ascii="Times New Roman" w:hAnsi="Times New Roman" w:cs="Times New Roman"/>
          <w:sz w:val="24"/>
          <w:szCs w:val="24"/>
        </w:rPr>
        <w:t>e)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i</w:t>
      </w:r>
      <w:r w:rsidRPr="0011155D" w:rsidR="5D0821B1">
        <w:rPr>
          <w:rFonts w:ascii="Times New Roman" w:hAnsi="Times New Roman" w:cs="Times New Roman"/>
          <w:sz w:val="24"/>
          <w:szCs w:val="24"/>
        </w:rPr>
        <w:t xml:space="preserve"> 11 modułów </w:t>
      </w:r>
      <w:proofErr w:type="spellStart"/>
      <w:r w:rsidRPr="0011155D" w:rsidR="5D0821B1">
        <w:rPr>
          <w:rFonts w:ascii="Times New Roman" w:hAnsi="Times New Roman" w:cs="Times New Roman"/>
          <w:sz w:val="24"/>
          <w:szCs w:val="24"/>
        </w:rPr>
        <w:t>ogólnoakademickich</w:t>
      </w:r>
      <w:proofErr w:type="spellEnd"/>
      <w:r w:rsidRPr="0011155D" w:rsidR="5D0821B1">
        <w:rPr>
          <w:rFonts w:ascii="Times New Roman" w:hAnsi="Times New Roman" w:cs="Times New Roman"/>
          <w:sz w:val="24"/>
          <w:szCs w:val="24"/>
        </w:rPr>
        <w:t xml:space="preserve"> (</w:t>
      </w:r>
      <w:r w:rsidRPr="0011155D" w:rsidR="00EB4E76">
        <w:rPr>
          <w:rFonts w:ascii="Times New Roman" w:hAnsi="Times New Roman" w:cs="Times New Roman"/>
          <w:sz w:val="24"/>
          <w:szCs w:val="24"/>
        </w:rPr>
        <w:t> </w:t>
      </w:r>
      <w:r w:rsidRPr="0011155D" w:rsidR="00CB2BAB">
        <w:rPr>
          <w:rFonts w:ascii="Times New Roman" w:hAnsi="Times New Roman" w:cs="Times New Roman"/>
          <w:sz w:val="24"/>
          <w:szCs w:val="24"/>
        </w:rPr>
        <w:t>humanistycznych</w:t>
      </w:r>
      <w:r w:rsidRPr="0011155D" w:rsidR="63B10837">
        <w:rPr>
          <w:rFonts w:ascii="Times New Roman" w:hAnsi="Times New Roman" w:cs="Times New Roman"/>
          <w:sz w:val="24"/>
          <w:szCs w:val="24"/>
        </w:rPr>
        <w:t>)</w:t>
      </w:r>
      <w:r w:rsidRPr="0011155D" w:rsidR="0040200B">
        <w:rPr>
          <w:rFonts w:ascii="Times New Roman" w:hAnsi="Times New Roman" w:cs="Times New Roman"/>
          <w:sz w:val="24"/>
          <w:szCs w:val="24"/>
        </w:rPr>
        <w:t>.</w:t>
      </w:r>
      <w:r w:rsidRPr="0011155D" w:rsidR="5B509DB6">
        <w:rPr>
          <w:rFonts w:ascii="Times New Roman" w:hAnsi="Times New Roman" w:cs="Times New Roman"/>
          <w:sz w:val="24"/>
          <w:szCs w:val="24"/>
        </w:rPr>
        <w:t xml:space="preserve"> Łącznie skompletowano ofertę OOD w liczbie 87</w:t>
      </w:r>
      <w:r w:rsidR="0029792E">
        <w:rPr>
          <w:rFonts w:ascii="Times New Roman" w:hAnsi="Times New Roman" w:cs="Times New Roman"/>
          <w:sz w:val="24"/>
          <w:szCs w:val="24"/>
        </w:rPr>
        <w:t> </w:t>
      </w:r>
      <w:r w:rsidRPr="0011155D" w:rsidR="5B509DB6">
        <w:rPr>
          <w:rFonts w:ascii="Times New Roman" w:hAnsi="Times New Roman" w:cs="Times New Roman"/>
          <w:sz w:val="24"/>
          <w:szCs w:val="24"/>
        </w:rPr>
        <w:t>modułów.</w:t>
      </w:r>
    </w:p>
    <w:p w:rsidRPr="0011155D" w:rsidR="001761FE" w:rsidP="0011155D" w:rsidRDefault="0040200B" w14:paraId="3B4FD75D" w14:textId="2D292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>Osadzenie takich modułów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>planach studiów przewiduje § 5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i </w:t>
      </w:r>
      <w:r w:rsidRPr="0011155D">
        <w:rPr>
          <w:rFonts w:ascii="Times New Roman" w:hAnsi="Times New Roman" w:cs="Times New Roman"/>
          <w:sz w:val="24"/>
          <w:szCs w:val="24"/>
        </w:rPr>
        <w:t xml:space="preserve">§ 9 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>uchwały nr 490 Senatu Uniwersytetu Śląskiego</w:t>
      </w:r>
      <w:r w:rsidRPr="0011155D" w:rsidR="00EB4E76"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>Katowicach</w:t>
      </w:r>
      <w:r w:rsidRPr="0011155D" w:rsidR="00EB4E76">
        <w:rPr>
          <w:rFonts w:ascii="Times New Roman" w:hAnsi="Times New Roman" w:cs="Times New Roman"/>
          <w:i/>
          <w:iCs/>
          <w:sz w:val="24"/>
          <w:szCs w:val="24"/>
        </w:rPr>
        <w:t xml:space="preserve"> z 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>dnia 28 stycznia 2020 r</w:t>
      </w:r>
      <w:r w:rsidRPr="0011155D">
        <w:rPr>
          <w:rFonts w:ascii="Times New Roman" w:hAnsi="Times New Roman" w:cs="Times New Roman"/>
          <w:sz w:val="24"/>
          <w:szCs w:val="24"/>
        </w:rPr>
        <w:t xml:space="preserve">. 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 xml:space="preserve">Sposób organizacji zajęć 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lastRenderedPageBreak/>
        <w:t>określa Zarządzenie nr 155 Rektora Uniwersytetu Śląskiego</w:t>
      </w:r>
      <w:r w:rsidRPr="0011155D" w:rsidR="00EB4E76"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>Katowicach</w:t>
      </w:r>
      <w:r w:rsidRPr="0011155D" w:rsidR="00EB4E76">
        <w:rPr>
          <w:rFonts w:ascii="Times New Roman" w:hAnsi="Times New Roman" w:cs="Times New Roman"/>
          <w:i/>
          <w:iCs/>
          <w:sz w:val="24"/>
          <w:szCs w:val="24"/>
        </w:rPr>
        <w:t xml:space="preserve"> z 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>dnia 13 września 2021 r</w:t>
      </w:r>
      <w:r w:rsidRPr="0011155D">
        <w:rPr>
          <w:rFonts w:ascii="Times New Roman" w:hAnsi="Times New Roman" w:cs="Times New Roman"/>
          <w:sz w:val="24"/>
          <w:szCs w:val="24"/>
        </w:rPr>
        <w:t xml:space="preserve">. </w:t>
      </w:r>
      <w:r w:rsidRPr="0011155D" w:rsidR="001761FE">
        <w:rPr>
          <w:rFonts w:ascii="Times New Roman" w:hAnsi="Times New Roman" w:cs="Times New Roman"/>
          <w:sz w:val="24"/>
          <w:szCs w:val="24"/>
        </w:rPr>
        <w:t xml:space="preserve">; </w:t>
      </w:r>
    </w:p>
    <w:p w:rsidRPr="0011155D" w:rsidR="0040200B" w:rsidP="0011155D" w:rsidRDefault="00000000" w14:paraId="6C6BC7D7" w14:textId="194F41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w:history="1" r:id="rId12">
        <w:r w:rsidRPr="0011155D" w:rsidR="001761FE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https://us.edu.pl/pracownik/sprawy-dydaktyczne/pion-ksztalcenia/ogolnoakademicka-oferta-dydaktyczna/ood-dokumenty/</w:t>
        </w:r>
      </w:hyperlink>
      <w:r w:rsidRPr="0011155D" w:rsidR="001761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Pr="0011155D" w:rsidR="00D8457D" w:rsidP="0011155D" w:rsidRDefault="6B56A74A" w14:paraId="63A13CA0" w14:textId="49DA229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155D">
        <w:rPr>
          <w:rFonts w:ascii="Times New Roman" w:hAnsi="Times New Roman"/>
          <w:sz w:val="24"/>
          <w:szCs w:val="24"/>
        </w:rPr>
        <w:t>Realizacja zajęć w ramach OOD objęta jest stałym monitoringiem. W jego wyniku zostały wyciągnięte w szczególności następujące wnioski, które są planowane do w</w:t>
      </w:r>
      <w:r w:rsidRPr="0011155D" w:rsidR="19402A24">
        <w:rPr>
          <w:rFonts w:ascii="Times New Roman" w:hAnsi="Times New Roman"/>
          <w:sz w:val="24"/>
          <w:szCs w:val="24"/>
        </w:rPr>
        <w:t>d</w:t>
      </w:r>
      <w:r w:rsidRPr="0011155D">
        <w:rPr>
          <w:rFonts w:ascii="Times New Roman" w:hAnsi="Times New Roman"/>
          <w:sz w:val="24"/>
          <w:szCs w:val="24"/>
        </w:rPr>
        <w:t>rożenia w</w:t>
      </w:r>
      <w:r w:rsidRPr="0011155D" w:rsidR="0011155D">
        <w:rPr>
          <w:rFonts w:ascii="Times New Roman" w:hAnsi="Times New Roman"/>
          <w:sz w:val="24"/>
          <w:szCs w:val="24"/>
        </w:rPr>
        <w:t> </w:t>
      </w:r>
      <w:r w:rsidRPr="0011155D">
        <w:rPr>
          <w:rFonts w:ascii="Times New Roman" w:hAnsi="Times New Roman"/>
          <w:sz w:val="24"/>
          <w:szCs w:val="24"/>
        </w:rPr>
        <w:t>kolejnych lata</w:t>
      </w:r>
      <w:r w:rsidRPr="0011155D" w:rsidR="0EF18B52">
        <w:rPr>
          <w:rFonts w:ascii="Times New Roman" w:hAnsi="Times New Roman"/>
          <w:sz w:val="24"/>
          <w:szCs w:val="24"/>
        </w:rPr>
        <w:t>ch akademickich:</w:t>
      </w:r>
    </w:p>
    <w:p w:rsidRPr="0011155D" w:rsidR="4617BB47" w:rsidP="0011155D" w:rsidRDefault="4617BB47" w14:paraId="796AE3E8" w14:textId="1320E21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55D">
        <w:rPr>
          <w:rFonts w:ascii="Times New Roman" w:hAnsi="Times New Roman"/>
          <w:sz w:val="24"/>
          <w:szCs w:val="24"/>
        </w:rPr>
        <w:t>Opisy modułów w ramach OOD powinny zostać ujednolicone – do 30 godz. zajęć i 3 ECTS dla każdego modułu na studiach stacjonarnych oraz do 20 godz. zajęć i 3 ECTS dla każdego modułu na studiach niestacjonarnych. Pozwo</w:t>
      </w:r>
      <w:r w:rsidRPr="0011155D" w:rsidR="642E09FB">
        <w:rPr>
          <w:rFonts w:ascii="Times New Roman" w:hAnsi="Times New Roman"/>
          <w:sz w:val="24"/>
          <w:szCs w:val="24"/>
        </w:rPr>
        <w:t>li to na uproszczenie procesu wyłaniania oferty oraz zapisywania studentów, a jednocześnie na zwiększenie realnych możliwości wyboru zajęć, gdyż będą one podzielono na 3, a nie na 6 grup.</w:t>
      </w:r>
    </w:p>
    <w:p w:rsidRPr="0011155D" w:rsidR="3970B5C7" w:rsidP="0011155D" w:rsidRDefault="3970B5C7" w14:paraId="26A32DA3" w14:textId="3A4A500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55D">
        <w:rPr>
          <w:rFonts w:ascii="Times New Roman" w:hAnsi="Times New Roman"/>
          <w:sz w:val="24"/>
          <w:szCs w:val="24"/>
        </w:rPr>
        <w:t>Zajęcia w ramach OOD nie powinny być realizowane w pierwszym semestrze studiów.</w:t>
      </w:r>
    </w:p>
    <w:p w:rsidRPr="0011155D" w:rsidR="3970B5C7" w:rsidP="0011155D" w:rsidRDefault="3970B5C7" w14:paraId="04EC83E9" w14:textId="72A93D5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55D">
        <w:rPr>
          <w:rFonts w:ascii="Times New Roman" w:hAnsi="Times New Roman"/>
          <w:sz w:val="24"/>
          <w:szCs w:val="24"/>
        </w:rPr>
        <w:t xml:space="preserve">Po wdrożeniu powyższych zmian powinno zastąpić się konkurs (polegający na wyłanianiu oferty przez Radę OOD) naborem (polegającym na </w:t>
      </w:r>
      <w:r w:rsidRPr="0011155D" w:rsidR="19E7F407">
        <w:rPr>
          <w:rFonts w:ascii="Times New Roman" w:hAnsi="Times New Roman"/>
          <w:sz w:val="24"/>
          <w:szCs w:val="24"/>
        </w:rPr>
        <w:t>włączaniu do rejestracji wszystkich modułów spełniających kryteria i uruchamianiu tych, na które zapisała się odpowiednia, minimalna liczba osób).</w:t>
      </w:r>
    </w:p>
    <w:p w:rsidRPr="0011155D" w:rsidR="46B23DC4" w:rsidP="0011155D" w:rsidRDefault="46B23DC4" w14:paraId="631EE2E1" w14:textId="69B9E54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Pr="0011155D" w:rsidR="00E93D24" w:rsidP="0011155D" w:rsidRDefault="003A33BC" w14:paraId="67AB2814" w14:textId="0D20BDA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55D">
        <w:rPr>
          <w:rFonts w:ascii="Times New Roman" w:hAnsi="Times New Roman"/>
          <w:b/>
          <w:bCs/>
          <w:i/>
          <w:iCs/>
          <w:sz w:val="24"/>
          <w:szCs w:val="24"/>
        </w:rPr>
        <w:t>System Motywacyjny</w:t>
      </w:r>
      <w:r w:rsidRPr="0011155D" w:rsidR="00EB4E76">
        <w:rPr>
          <w:rFonts w:ascii="Times New Roman" w:hAnsi="Times New Roman"/>
          <w:b/>
          <w:bCs/>
          <w:i/>
          <w:iCs/>
          <w:sz w:val="24"/>
          <w:szCs w:val="24"/>
        </w:rPr>
        <w:t xml:space="preserve"> w </w:t>
      </w:r>
      <w:r w:rsidRPr="0011155D">
        <w:rPr>
          <w:rFonts w:ascii="Times New Roman" w:hAnsi="Times New Roman"/>
          <w:b/>
          <w:bCs/>
          <w:i/>
          <w:iCs/>
          <w:sz w:val="24"/>
          <w:szCs w:val="24"/>
        </w:rPr>
        <w:t>Dydaktyce Akademickiej Uniwersytetu Śląskiego</w:t>
      </w:r>
      <w:r w:rsidRPr="0011155D" w:rsidR="00EB4E76">
        <w:rPr>
          <w:rFonts w:ascii="Times New Roman" w:hAnsi="Times New Roman"/>
          <w:b/>
          <w:bCs/>
          <w:i/>
          <w:iCs/>
          <w:sz w:val="24"/>
          <w:szCs w:val="24"/>
        </w:rPr>
        <w:t xml:space="preserve"> w </w:t>
      </w:r>
      <w:r w:rsidRPr="0011155D">
        <w:rPr>
          <w:rFonts w:ascii="Times New Roman" w:hAnsi="Times New Roman"/>
          <w:b/>
          <w:bCs/>
          <w:i/>
          <w:iCs/>
          <w:sz w:val="24"/>
          <w:szCs w:val="24"/>
        </w:rPr>
        <w:t>Katowicach</w:t>
      </w:r>
      <w:r w:rsidRPr="0011155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11155D">
        <w:rPr>
          <w:rFonts w:ascii="Times New Roman" w:hAnsi="Times New Roman"/>
          <w:b/>
          <w:bCs/>
          <w:sz w:val="24"/>
          <w:szCs w:val="24"/>
        </w:rPr>
        <w:t>SMoDA</w:t>
      </w:r>
      <w:proofErr w:type="spellEnd"/>
      <w:r w:rsidRPr="0011155D">
        <w:rPr>
          <w:rFonts w:ascii="Times New Roman" w:hAnsi="Times New Roman"/>
          <w:b/>
          <w:bCs/>
          <w:sz w:val="24"/>
          <w:szCs w:val="24"/>
        </w:rPr>
        <w:t>)</w:t>
      </w:r>
    </w:p>
    <w:p w:rsidRPr="0011155D" w:rsidR="003C215E" w:rsidP="0011155D" w:rsidRDefault="007C32E3" w14:paraId="6FAD5A9D" w14:textId="0E855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155D">
        <w:rPr>
          <w:rFonts w:ascii="Times New Roman" w:hAnsi="Times New Roman" w:cs="Times New Roman"/>
          <w:sz w:val="24"/>
          <w:szCs w:val="24"/>
        </w:rPr>
        <w:t>W roku 2022 r.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>ramach działań projakościowych wspierających dydaktykę akademicką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 xml:space="preserve">Uniwersytecie uruchomiono program 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 xml:space="preserve">motywacyjny przeznaczony dla </w:t>
      </w:r>
      <w:r w:rsidRPr="0011155D" w:rsidR="003C215E">
        <w:rPr>
          <w:rFonts w:ascii="Times New Roman" w:hAnsi="Times New Roman" w:cs="Times New Roman"/>
          <w:sz w:val="24"/>
          <w:szCs w:val="24"/>
          <w:lang w:eastAsia="pl-PL"/>
        </w:rPr>
        <w:t xml:space="preserve">tych 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>osób</w:t>
      </w:r>
      <w:r w:rsidRPr="0011155D" w:rsidR="5447E02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155D" w:rsidR="003C215E">
        <w:rPr>
          <w:rFonts w:ascii="Times New Roman" w:hAnsi="Times New Roman" w:cs="Times New Roman"/>
          <w:sz w:val="24"/>
          <w:szCs w:val="24"/>
        </w:rPr>
        <w:t>które najbardziej angażują się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 w:rsidR="003C215E">
        <w:rPr>
          <w:rFonts w:ascii="Times New Roman" w:hAnsi="Times New Roman" w:cs="Times New Roman"/>
          <w:sz w:val="24"/>
          <w:szCs w:val="24"/>
        </w:rPr>
        <w:t>aktywności na rzecz doskonałego kształcenia 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11155D">
        <w:rPr>
          <w:rFonts w:ascii="Times New Roman" w:hAnsi="Times New Roman" w:cs="Times New Roman"/>
          <w:sz w:val="24"/>
          <w:szCs w:val="24"/>
          <w:lang w:eastAsia="pl-PL"/>
        </w:rPr>
        <w:t>SMoDA</w:t>
      </w:r>
      <w:proofErr w:type="spellEnd"/>
      <w:r w:rsidRPr="0011155D">
        <w:rPr>
          <w:rFonts w:ascii="Times New Roman" w:hAnsi="Times New Roman" w:cs="Times New Roman"/>
          <w:sz w:val="24"/>
          <w:szCs w:val="24"/>
          <w:lang w:eastAsia="pl-PL"/>
        </w:rPr>
        <w:t xml:space="preserve">). Program ma charakter otwarty, co oznacza że będzie podlegał  </w:t>
      </w:r>
      <w:r w:rsidRPr="0011155D" w:rsidR="003C215E">
        <w:rPr>
          <w:rFonts w:ascii="Times New Roman" w:hAnsi="Times New Roman" w:cs="Times New Roman"/>
          <w:sz w:val="24"/>
          <w:szCs w:val="24"/>
          <w:lang w:eastAsia="pl-PL"/>
        </w:rPr>
        <w:t xml:space="preserve">ciągłemu 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>procesowi doskonalenia,</w:t>
      </w:r>
      <w:r w:rsidRPr="0011155D" w:rsidR="00EB4E76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>ramach którego aktualizowane będą różnego rodzaju aktywności, sprzyjające realizacji dydaktyki na możliwe najwyższym poziomie.  Założenia programu współgrają</w:t>
      </w:r>
      <w:r w:rsidRPr="0011155D" w:rsidR="00EB4E76">
        <w:rPr>
          <w:rFonts w:ascii="Times New Roman" w:hAnsi="Times New Roman" w:cs="Times New Roman"/>
          <w:sz w:val="24"/>
          <w:szCs w:val="24"/>
          <w:lang w:eastAsia="pl-PL"/>
        </w:rPr>
        <w:t xml:space="preserve"> z 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>warunkami przyznawania certyfikat</w:t>
      </w:r>
      <w:r w:rsidRPr="0011155D" w:rsidR="003C215E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 xml:space="preserve"> doskonałości Polskiej Komisji Akredytacyjnej</w:t>
      </w:r>
      <w:r w:rsidRPr="0011155D" w:rsidR="003C215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1155D" w:rsidR="00EB4E76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11155D" w:rsidR="003C215E">
        <w:rPr>
          <w:rFonts w:ascii="Times New Roman" w:hAnsi="Times New Roman" w:cs="Times New Roman"/>
          <w:sz w:val="24"/>
          <w:szCs w:val="24"/>
          <w:lang w:eastAsia="pl-PL"/>
        </w:rPr>
        <w:t>ramach programu doceniane są:</w:t>
      </w:r>
    </w:p>
    <w:p w:rsidRPr="0011155D" w:rsidR="007C32E3" w:rsidP="0011155D" w:rsidRDefault="003C215E" w14:paraId="5B727BBF" w14:textId="14234F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55D">
        <w:rPr>
          <w:rFonts w:ascii="Times New Roman" w:hAnsi="Times New Roman"/>
          <w:sz w:val="24"/>
          <w:szCs w:val="24"/>
        </w:rPr>
        <w:t xml:space="preserve">starania o </w:t>
      </w:r>
      <w:r w:rsidRPr="0011155D">
        <w:rPr>
          <w:rFonts w:ascii="Times New Roman" w:hAnsi="Times New Roman"/>
          <w:sz w:val="24"/>
          <w:szCs w:val="24"/>
          <w:lang w:eastAsia="pl-PL"/>
        </w:rPr>
        <w:t>rozwój, modernizację</w:t>
      </w:r>
      <w:r w:rsidRPr="0011155D" w:rsidR="00EB4E76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11155D">
        <w:rPr>
          <w:rFonts w:ascii="Times New Roman" w:hAnsi="Times New Roman"/>
          <w:sz w:val="24"/>
          <w:szCs w:val="24"/>
          <w:lang w:eastAsia="pl-PL"/>
        </w:rPr>
        <w:t>tworzenie kierunków studiów</w:t>
      </w:r>
      <w:r w:rsidRPr="0011155D" w:rsidR="00EB4E76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11155D">
        <w:rPr>
          <w:rFonts w:ascii="Times New Roman" w:hAnsi="Times New Roman"/>
          <w:sz w:val="24"/>
          <w:szCs w:val="24"/>
          <w:lang w:eastAsia="pl-PL"/>
        </w:rPr>
        <w:t xml:space="preserve">oparciu </w:t>
      </w:r>
      <w:r w:rsidRPr="0011155D">
        <w:rPr>
          <w:rFonts w:ascii="Times New Roman" w:hAnsi="Times New Roman"/>
          <w:sz w:val="24"/>
          <w:szCs w:val="24"/>
        </w:rPr>
        <w:t>o</w:t>
      </w:r>
      <w:r w:rsidR="0029792E">
        <w:rPr>
          <w:rFonts w:ascii="Times New Roman" w:hAnsi="Times New Roman"/>
          <w:sz w:val="24"/>
          <w:szCs w:val="24"/>
        </w:rPr>
        <w:t> </w:t>
      </w:r>
      <w:r w:rsidRPr="0011155D">
        <w:rPr>
          <w:rFonts w:ascii="Times New Roman" w:hAnsi="Times New Roman"/>
          <w:sz w:val="24"/>
          <w:szCs w:val="24"/>
        </w:rPr>
        <w:t>przeprowadzoną</w:t>
      </w:r>
      <w:r w:rsidRPr="0011155D" w:rsidR="00EB4E76">
        <w:rPr>
          <w:rFonts w:ascii="Times New Roman" w:hAnsi="Times New Roman"/>
          <w:sz w:val="24"/>
          <w:szCs w:val="24"/>
        </w:rPr>
        <w:t xml:space="preserve"> i </w:t>
      </w:r>
      <w:r w:rsidRPr="0011155D">
        <w:rPr>
          <w:rFonts w:ascii="Times New Roman" w:hAnsi="Times New Roman"/>
          <w:sz w:val="24"/>
          <w:szCs w:val="24"/>
        </w:rPr>
        <w:t xml:space="preserve">przedstawioną diagnozę, inspirowaną założeniami nowej koncepcji studiów, dotyczącą uwarunkowań społeczno-gospodarczych konkretnego kierunku, a także </w:t>
      </w:r>
      <w:r w:rsidRPr="0011155D">
        <w:rPr>
          <w:rFonts w:ascii="Times New Roman" w:hAnsi="Times New Roman"/>
          <w:sz w:val="24"/>
          <w:szCs w:val="24"/>
        </w:rPr>
        <w:lastRenderedPageBreak/>
        <w:t>zakładanych kompetencji zarówno kandydata na studia, jak</w:t>
      </w:r>
      <w:r w:rsidRPr="0011155D" w:rsidR="00EB4E76">
        <w:rPr>
          <w:rFonts w:ascii="Times New Roman" w:hAnsi="Times New Roman"/>
          <w:sz w:val="24"/>
          <w:szCs w:val="24"/>
        </w:rPr>
        <w:t xml:space="preserve"> i </w:t>
      </w:r>
      <w:r w:rsidRPr="0011155D">
        <w:rPr>
          <w:rFonts w:ascii="Times New Roman" w:hAnsi="Times New Roman"/>
          <w:sz w:val="24"/>
          <w:szCs w:val="24"/>
        </w:rPr>
        <w:t xml:space="preserve">absolwenta tego kierunku; </w:t>
      </w:r>
      <w:r w:rsidRPr="0011155D" w:rsidR="003D1314">
        <w:rPr>
          <w:rFonts w:ascii="Times New Roman" w:hAnsi="Times New Roman"/>
          <w:b/>
          <w:bCs/>
          <w:sz w:val="24"/>
          <w:szCs w:val="24"/>
        </w:rPr>
        <w:t>obszar</w:t>
      </w:r>
      <w:r w:rsidRPr="0011155D">
        <w:rPr>
          <w:rFonts w:ascii="Times New Roman" w:hAnsi="Times New Roman"/>
          <w:b/>
          <w:bCs/>
          <w:sz w:val="24"/>
          <w:szCs w:val="24"/>
        </w:rPr>
        <w:t>: Doskonały kierunek</w:t>
      </w:r>
      <w:r w:rsidRPr="0011155D" w:rsidR="003D1314">
        <w:rPr>
          <w:rFonts w:ascii="Times New Roman" w:hAnsi="Times New Roman"/>
          <w:b/>
          <w:bCs/>
          <w:sz w:val="24"/>
          <w:szCs w:val="24"/>
        </w:rPr>
        <w:t>;</w:t>
      </w:r>
      <w:r w:rsidRPr="0011155D" w:rsidR="003D1314">
        <w:rPr>
          <w:rFonts w:ascii="Times New Roman" w:hAnsi="Times New Roman"/>
          <w:sz w:val="24"/>
          <w:szCs w:val="24"/>
        </w:rPr>
        <w:t xml:space="preserve"> </w:t>
      </w:r>
      <w:hyperlink r:id="rId13">
        <w:r w:rsidRPr="0011155D" w:rsidR="003D1314">
          <w:rPr>
            <w:rStyle w:val="Hipercze"/>
            <w:rFonts w:ascii="Times New Roman" w:hAnsi="Times New Roman"/>
            <w:sz w:val="24"/>
            <w:szCs w:val="24"/>
          </w:rPr>
          <w:t>https://us.edu.pl/pracownik/sprawy-dydaktyczne/system-motywacyjny-w-dydaktyce-akademickiej-smoda/doskonaly-kierunek-smoda/</w:t>
        </w:r>
      </w:hyperlink>
    </w:p>
    <w:p w:rsidRPr="0011155D" w:rsidR="007F0ADC" w:rsidP="0011155D" w:rsidRDefault="003D1314" w14:paraId="2AA74E28" w14:textId="4ED4D53A">
      <w:pPr>
        <w:pStyle w:val="Akapitzlist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55D">
        <w:rPr>
          <w:rFonts w:ascii="Times New Roman" w:hAnsi="Times New Roman"/>
          <w:sz w:val="24"/>
          <w:szCs w:val="24"/>
        </w:rPr>
        <w:t>aktywności   podnoszące poziom zaangażowania osób studiujących</w:t>
      </w:r>
      <w:r w:rsidRPr="0011155D" w:rsidR="00EB4E76">
        <w:rPr>
          <w:rFonts w:ascii="Times New Roman" w:hAnsi="Times New Roman"/>
          <w:sz w:val="24"/>
          <w:szCs w:val="24"/>
        </w:rPr>
        <w:t xml:space="preserve"> w </w:t>
      </w:r>
      <w:r w:rsidRPr="0011155D">
        <w:rPr>
          <w:rFonts w:ascii="Times New Roman" w:hAnsi="Times New Roman"/>
          <w:sz w:val="24"/>
          <w:szCs w:val="24"/>
        </w:rPr>
        <w:t>życie naukowe, dające możliwość rozwoju oraz poszerzania kompetencji społecznych, będące szansą na</w:t>
      </w:r>
      <w:r w:rsidR="0029792E">
        <w:rPr>
          <w:rFonts w:ascii="Times New Roman" w:hAnsi="Times New Roman"/>
          <w:sz w:val="24"/>
          <w:szCs w:val="24"/>
        </w:rPr>
        <w:t> </w:t>
      </w:r>
      <w:r w:rsidRPr="0011155D">
        <w:rPr>
          <w:rFonts w:ascii="Times New Roman" w:hAnsi="Times New Roman"/>
          <w:sz w:val="24"/>
          <w:szCs w:val="24"/>
        </w:rPr>
        <w:t>prezentację prowadzonych przez nie badań oraz takie, które sprzyjają   budowaniu relacji</w:t>
      </w:r>
      <w:r w:rsidRPr="0011155D" w:rsidR="00EB4E76">
        <w:rPr>
          <w:rFonts w:ascii="Times New Roman" w:hAnsi="Times New Roman"/>
          <w:sz w:val="24"/>
          <w:szCs w:val="24"/>
        </w:rPr>
        <w:t xml:space="preserve"> z </w:t>
      </w:r>
      <w:r w:rsidRPr="0011155D">
        <w:rPr>
          <w:rFonts w:ascii="Times New Roman" w:hAnsi="Times New Roman"/>
          <w:sz w:val="24"/>
          <w:szCs w:val="24"/>
        </w:rPr>
        <w:t xml:space="preserve">szeroko rozumianym otoczeniem społeczno-gospodarczym; </w:t>
      </w:r>
      <w:r w:rsidRPr="0011155D">
        <w:rPr>
          <w:rFonts w:ascii="Times New Roman" w:hAnsi="Times New Roman"/>
          <w:b/>
          <w:bCs/>
          <w:sz w:val="24"/>
          <w:szCs w:val="24"/>
        </w:rPr>
        <w:t>obszar: Zawsze dla</w:t>
      </w:r>
      <w:r w:rsidR="0029792E">
        <w:rPr>
          <w:rFonts w:ascii="Times New Roman" w:hAnsi="Times New Roman"/>
          <w:b/>
          <w:bCs/>
          <w:sz w:val="24"/>
          <w:szCs w:val="24"/>
        </w:rPr>
        <w:t> </w:t>
      </w:r>
      <w:r w:rsidRPr="0011155D">
        <w:rPr>
          <w:rFonts w:ascii="Times New Roman" w:hAnsi="Times New Roman"/>
          <w:b/>
          <w:bCs/>
          <w:sz w:val="24"/>
          <w:szCs w:val="24"/>
        </w:rPr>
        <w:t>studenta</w:t>
      </w:r>
      <w:r w:rsidRPr="0011155D">
        <w:rPr>
          <w:rFonts w:ascii="Times New Roman" w:hAnsi="Times New Roman"/>
          <w:sz w:val="24"/>
          <w:szCs w:val="24"/>
        </w:rPr>
        <w:t xml:space="preserve">; </w:t>
      </w:r>
      <w:hyperlink w:history="1" r:id="rId14">
        <w:r w:rsidRPr="0011155D">
          <w:rPr>
            <w:rStyle w:val="Hipercze"/>
            <w:rFonts w:ascii="Times New Roman" w:hAnsi="Times New Roman"/>
            <w:sz w:val="24"/>
            <w:szCs w:val="24"/>
          </w:rPr>
          <w:t>https://us.edu.pl/pracownik/sprawy-dydaktyczne/system-motywacyjny-w-dydaktyce-akademickiej-smoda/wspolmyslenie-wspoldzialanie-smoda/</w:t>
        </w:r>
      </w:hyperlink>
      <w:r w:rsidRPr="0011155D" w:rsidR="007F0ADC">
        <w:rPr>
          <w:rFonts w:ascii="Times New Roman" w:hAnsi="Times New Roman"/>
          <w:sz w:val="24"/>
          <w:szCs w:val="24"/>
        </w:rPr>
        <w:t>;</w:t>
      </w:r>
      <w:r w:rsidRPr="0011155D" w:rsidR="00EB4E76">
        <w:rPr>
          <w:rFonts w:ascii="Times New Roman" w:hAnsi="Times New Roman"/>
          <w:sz w:val="24"/>
          <w:szCs w:val="24"/>
        </w:rPr>
        <w:t xml:space="preserve"> w </w:t>
      </w:r>
      <w:r w:rsidRPr="0011155D" w:rsidR="007F0ADC">
        <w:rPr>
          <w:rFonts w:ascii="Times New Roman" w:hAnsi="Times New Roman"/>
          <w:sz w:val="24"/>
          <w:szCs w:val="24"/>
          <w:lang w:eastAsia="pl-PL"/>
        </w:rPr>
        <w:t xml:space="preserve">roku akademickim 2021.22 rozstrzygnięcie znalazła  </w:t>
      </w:r>
      <w:r w:rsidRPr="0011155D" w:rsidR="00EB4E76"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11155D" w:rsidR="007F0ADC">
        <w:rPr>
          <w:rFonts w:ascii="Times New Roman" w:hAnsi="Times New Roman"/>
          <w:sz w:val="24"/>
          <w:szCs w:val="24"/>
          <w:lang w:eastAsia="pl-PL"/>
        </w:rPr>
        <w:t>edycja    konkursu ogłoszonego</w:t>
      </w:r>
      <w:r w:rsidRPr="0011155D" w:rsidR="00EB4E76"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11155D" w:rsidR="007F0ADC">
        <w:rPr>
          <w:rFonts w:ascii="Times New Roman" w:hAnsi="Times New Roman"/>
          <w:sz w:val="24"/>
          <w:szCs w:val="24"/>
          <w:lang w:eastAsia="pl-PL"/>
        </w:rPr>
        <w:t>tym obszarze pt.:</w:t>
      </w:r>
      <w:r w:rsidRPr="0011155D" w:rsidR="007F0ADC">
        <w:rPr>
          <w:rFonts w:ascii="Times New Roman" w:hAnsi="Times New Roman"/>
          <w:bCs/>
          <w:sz w:val="24"/>
          <w:szCs w:val="24"/>
        </w:rPr>
        <w:t xml:space="preserve"> „Współmyślenie, współdziałanie” dla mentorek/mentorów zespołów studenckich realizujących projekty naukowe, dydaktyczne, społeczne oraz artystyczne. Komisja konkursowa</w:t>
      </w:r>
      <w:r w:rsidRPr="0011155D" w:rsidR="00EB4E76">
        <w:rPr>
          <w:rFonts w:ascii="Times New Roman" w:hAnsi="Times New Roman"/>
          <w:bCs/>
          <w:sz w:val="24"/>
          <w:szCs w:val="24"/>
        </w:rPr>
        <w:t xml:space="preserve"> w </w:t>
      </w:r>
      <w:r w:rsidRPr="0011155D" w:rsidR="007F0ADC">
        <w:rPr>
          <w:rFonts w:ascii="Times New Roman" w:hAnsi="Times New Roman"/>
          <w:bCs/>
          <w:sz w:val="24"/>
          <w:szCs w:val="24"/>
        </w:rPr>
        <w:t>lipcu 2022 r. dokonała wyboru mentorek</w:t>
      </w:r>
      <w:r w:rsidRPr="0011155D" w:rsidR="00EB4E76">
        <w:rPr>
          <w:rFonts w:ascii="Times New Roman" w:hAnsi="Times New Roman"/>
          <w:bCs/>
          <w:sz w:val="24"/>
          <w:szCs w:val="24"/>
        </w:rPr>
        <w:t xml:space="preserve"> i </w:t>
      </w:r>
      <w:r w:rsidRPr="0011155D" w:rsidR="007F0ADC">
        <w:rPr>
          <w:rFonts w:ascii="Times New Roman" w:hAnsi="Times New Roman"/>
          <w:bCs/>
          <w:sz w:val="24"/>
          <w:szCs w:val="24"/>
        </w:rPr>
        <w:t>mentorów 27 zespołów studenckich (20 zespołów</w:t>
      </w:r>
      <w:r w:rsidRPr="0011155D" w:rsidR="00EB4E76">
        <w:rPr>
          <w:rFonts w:ascii="Times New Roman" w:hAnsi="Times New Roman"/>
          <w:bCs/>
          <w:sz w:val="24"/>
          <w:szCs w:val="24"/>
        </w:rPr>
        <w:t xml:space="preserve"> z </w:t>
      </w:r>
      <w:r w:rsidRPr="0011155D" w:rsidR="007F0ADC">
        <w:rPr>
          <w:rFonts w:ascii="Times New Roman" w:hAnsi="Times New Roman"/>
          <w:bCs/>
          <w:sz w:val="24"/>
          <w:szCs w:val="24"/>
        </w:rPr>
        <w:t>WH, 2 zespoły</w:t>
      </w:r>
      <w:r w:rsidRPr="0011155D" w:rsidR="00EB4E76">
        <w:rPr>
          <w:rFonts w:ascii="Times New Roman" w:hAnsi="Times New Roman"/>
          <w:bCs/>
          <w:sz w:val="24"/>
          <w:szCs w:val="24"/>
        </w:rPr>
        <w:t xml:space="preserve"> z </w:t>
      </w:r>
      <w:r w:rsidRPr="0011155D" w:rsidR="007F0ADC">
        <w:rPr>
          <w:rFonts w:ascii="Times New Roman" w:hAnsi="Times New Roman"/>
          <w:bCs/>
          <w:sz w:val="24"/>
          <w:szCs w:val="24"/>
        </w:rPr>
        <w:t>WNP, 3 zespoły</w:t>
      </w:r>
      <w:r w:rsidRPr="0011155D" w:rsidR="00EB4E76">
        <w:rPr>
          <w:rFonts w:ascii="Times New Roman" w:hAnsi="Times New Roman"/>
          <w:bCs/>
          <w:sz w:val="24"/>
          <w:szCs w:val="24"/>
        </w:rPr>
        <w:t xml:space="preserve"> z </w:t>
      </w:r>
      <w:r w:rsidRPr="0011155D" w:rsidR="007F0ADC">
        <w:rPr>
          <w:rFonts w:ascii="Times New Roman" w:hAnsi="Times New Roman"/>
          <w:bCs/>
          <w:sz w:val="24"/>
          <w:szCs w:val="24"/>
        </w:rPr>
        <w:t>WSNE oraz po 1 zespole</w:t>
      </w:r>
      <w:r w:rsidRPr="0011155D" w:rsidR="00EB4E76">
        <w:rPr>
          <w:rFonts w:ascii="Times New Roman" w:hAnsi="Times New Roman"/>
          <w:bCs/>
          <w:sz w:val="24"/>
          <w:szCs w:val="24"/>
        </w:rPr>
        <w:t xml:space="preserve"> z </w:t>
      </w:r>
      <w:r w:rsidRPr="0011155D" w:rsidR="007F0ADC">
        <w:rPr>
          <w:rFonts w:ascii="Times New Roman" w:hAnsi="Times New Roman"/>
          <w:bCs/>
          <w:sz w:val="24"/>
          <w:szCs w:val="24"/>
        </w:rPr>
        <w:t>WNS</w:t>
      </w:r>
      <w:r w:rsidRPr="0011155D" w:rsidR="00EB4E76">
        <w:rPr>
          <w:rFonts w:ascii="Times New Roman" w:hAnsi="Times New Roman"/>
          <w:bCs/>
          <w:sz w:val="24"/>
          <w:szCs w:val="24"/>
        </w:rPr>
        <w:t xml:space="preserve"> i </w:t>
      </w:r>
      <w:r w:rsidRPr="0011155D" w:rsidR="007F0ADC">
        <w:rPr>
          <w:rFonts w:ascii="Times New Roman" w:hAnsi="Times New Roman"/>
          <w:bCs/>
          <w:sz w:val="24"/>
          <w:szCs w:val="24"/>
        </w:rPr>
        <w:t xml:space="preserve"> SJKP), które</w:t>
      </w:r>
      <w:r w:rsidRPr="0011155D" w:rsidR="00EB4E76">
        <w:rPr>
          <w:rFonts w:ascii="Times New Roman" w:hAnsi="Times New Roman"/>
          <w:bCs/>
          <w:sz w:val="24"/>
          <w:szCs w:val="24"/>
        </w:rPr>
        <w:t xml:space="preserve"> w </w:t>
      </w:r>
      <w:r w:rsidRPr="0011155D" w:rsidR="007F0ADC">
        <w:rPr>
          <w:rFonts w:ascii="Times New Roman" w:hAnsi="Times New Roman"/>
          <w:bCs/>
          <w:sz w:val="24"/>
          <w:szCs w:val="24"/>
        </w:rPr>
        <w:t>roku akademickim 2022/2023 rozpoczęły realizację projektów podnoszących poziom zaangażowania osób studiujących</w:t>
      </w:r>
      <w:r w:rsidRPr="0011155D" w:rsidR="00EB4E76">
        <w:rPr>
          <w:rFonts w:ascii="Times New Roman" w:hAnsi="Times New Roman"/>
          <w:bCs/>
          <w:sz w:val="24"/>
          <w:szCs w:val="24"/>
        </w:rPr>
        <w:t xml:space="preserve"> w </w:t>
      </w:r>
      <w:r w:rsidRPr="0011155D" w:rsidR="007F0ADC">
        <w:rPr>
          <w:rFonts w:ascii="Times New Roman" w:hAnsi="Times New Roman"/>
          <w:bCs/>
          <w:sz w:val="24"/>
          <w:szCs w:val="24"/>
        </w:rPr>
        <w:t>życie naukowe, dających możliwość rozwoju oraz poszerzania kompetencji społecznych, a także będących szansą na</w:t>
      </w:r>
      <w:r w:rsidR="0029792E">
        <w:rPr>
          <w:rFonts w:ascii="Times New Roman" w:hAnsi="Times New Roman"/>
          <w:bCs/>
          <w:sz w:val="24"/>
          <w:szCs w:val="24"/>
        </w:rPr>
        <w:t> </w:t>
      </w:r>
      <w:r w:rsidRPr="0011155D" w:rsidR="007F0ADC">
        <w:rPr>
          <w:rFonts w:ascii="Times New Roman" w:hAnsi="Times New Roman"/>
          <w:bCs/>
          <w:sz w:val="24"/>
          <w:szCs w:val="24"/>
        </w:rPr>
        <w:t>prezentację prowadzonych przez nie badań.</w:t>
      </w:r>
    </w:p>
    <w:p w:rsidRPr="0011155D" w:rsidR="2C9D4715" w:rsidP="0011155D" w:rsidRDefault="003D1314" w14:paraId="26EC99C3" w14:textId="0FA7F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1155D">
        <w:rPr>
          <w:rFonts w:ascii="Times New Roman" w:hAnsi="Times New Roman" w:cs="Times New Roman"/>
          <w:sz w:val="24"/>
          <w:szCs w:val="24"/>
          <w:lang w:eastAsia="pl-PL"/>
        </w:rPr>
        <w:t xml:space="preserve">Dwa kolejne </w:t>
      </w:r>
      <w:r w:rsidRPr="0011155D" w:rsidR="007F0ADC">
        <w:rPr>
          <w:rFonts w:ascii="Times New Roman" w:hAnsi="Times New Roman" w:cs="Times New Roman"/>
          <w:sz w:val="24"/>
          <w:szCs w:val="24"/>
          <w:lang w:eastAsia="pl-PL"/>
        </w:rPr>
        <w:t>obszary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 xml:space="preserve"> -  </w:t>
      </w:r>
      <w:r w:rsidRPr="00111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Otwarty na świat</w:t>
      </w:r>
      <w:r w:rsidRPr="0011155D" w:rsidR="00EB4E76">
        <w:rPr>
          <w:rFonts w:ascii="Times New Roman" w:hAnsi="Times New Roman" w:cs="Times New Roman"/>
          <w:sz w:val="24"/>
          <w:szCs w:val="24"/>
          <w:lang w:eastAsia="pl-PL"/>
        </w:rPr>
        <w:t xml:space="preserve"> i 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115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Partner dla rozwoju</w:t>
      </w:r>
      <w:r w:rsidRPr="0011155D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11155D" w:rsidR="007F0ADC">
        <w:rPr>
          <w:rFonts w:ascii="Times New Roman" w:hAnsi="Times New Roman" w:cs="Times New Roman"/>
          <w:sz w:val="24"/>
          <w:szCs w:val="24"/>
          <w:lang w:eastAsia="pl-PL"/>
        </w:rPr>
        <w:t xml:space="preserve"> zostały zaplanowane do</w:t>
      </w:r>
      <w:r w:rsidR="0029792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11155D" w:rsidR="007F0ADC">
        <w:rPr>
          <w:rFonts w:ascii="Times New Roman" w:hAnsi="Times New Roman" w:cs="Times New Roman"/>
          <w:sz w:val="24"/>
          <w:szCs w:val="24"/>
          <w:lang w:eastAsia="pl-PL"/>
        </w:rPr>
        <w:t>realizacji</w:t>
      </w:r>
      <w:r w:rsidRPr="0011155D" w:rsidR="00EB4E76">
        <w:rPr>
          <w:rFonts w:ascii="Times New Roman" w:hAnsi="Times New Roman" w:cs="Times New Roman"/>
          <w:sz w:val="24"/>
          <w:szCs w:val="24"/>
          <w:lang w:eastAsia="pl-PL"/>
        </w:rPr>
        <w:t xml:space="preserve"> w </w:t>
      </w:r>
      <w:r w:rsidRPr="0011155D" w:rsidR="007F0ADC">
        <w:rPr>
          <w:rFonts w:ascii="Times New Roman" w:hAnsi="Times New Roman" w:cs="Times New Roman"/>
          <w:sz w:val="24"/>
          <w:szCs w:val="24"/>
          <w:lang w:eastAsia="pl-PL"/>
        </w:rPr>
        <w:t>kolejnych latach</w:t>
      </w:r>
      <w:r w:rsidRPr="0011155D" w:rsidR="00101EB1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  <w:hyperlink r:id="rId15">
        <w:r w:rsidRPr="0011155D" w:rsidR="00101EB1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https://us.edu.pl/pracownik/sprawy-dydaktyczne/system-motywacyjny-w-dydaktyce-akademickiej-smoda/</w:t>
        </w:r>
      </w:hyperlink>
      <w:r w:rsidRPr="0011155D" w:rsidR="00101E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Pr="0011155D" w:rsidR="007F0ADC" w:rsidP="0011155D" w:rsidRDefault="4BF08632" w14:paraId="2A7BB773" w14:textId="5FF6F1A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55D">
        <w:rPr>
          <w:rFonts w:ascii="Times New Roman" w:hAnsi="Times New Roman"/>
          <w:i/>
          <w:iCs/>
          <w:sz w:val="24"/>
          <w:szCs w:val="24"/>
        </w:rPr>
        <w:t>Listy gratulacyjne JM Rektora Uniwersytetu Śląskiego</w:t>
      </w:r>
      <w:r w:rsidRPr="0011155D" w:rsidR="432F187D">
        <w:rPr>
          <w:rFonts w:ascii="Times New Roman" w:hAnsi="Times New Roman"/>
          <w:i/>
          <w:iCs/>
          <w:sz w:val="24"/>
          <w:szCs w:val="24"/>
        </w:rPr>
        <w:t xml:space="preserve"> w </w:t>
      </w:r>
      <w:r w:rsidRPr="0011155D">
        <w:rPr>
          <w:rFonts w:ascii="Times New Roman" w:hAnsi="Times New Roman"/>
          <w:i/>
          <w:iCs/>
          <w:sz w:val="24"/>
          <w:szCs w:val="24"/>
        </w:rPr>
        <w:t>Katowicach dla</w:t>
      </w:r>
      <w:r w:rsidR="0029792E">
        <w:rPr>
          <w:rFonts w:ascii="Times New Roman" w:hAnsi="Times New Roman"/>
          <w:i/>
          <w:iCs/>
          <w:sz w:val="24"/>
          <w:szCs w:val="24"/>
        </w:rPr>
        <w:t> </w:t>
      </w:r>
      <w:r w:rsidRPr="0011155D">
        <w:rPr>
          <w:rFonts w:ascii="Times New Roman" w:hAnsi="Times New Roman"/>
          <w:i/>
          <w:iCs/>
          <w:sz w:val="24"/>
          <w:szCs w:val="24"/>
        </w:rPr>
        <w:t>nauczycieli/nauczycielek akademickich za doskonałą dydaktykę</w:t>
      </w:r>
      <w:r w:rsidRPr="0011155D" w:rsidR="432F187D">
        <w:rPr>
          <w:rFonts w:ascii="Times New Roman" w:hAnsi="Times New Roman"/>
          <w:i/>
          <w:iCs/>
          <w:sz w:val="24"/>
          <w:szCs w:val="24"/>
        </w:rPr>
        <w:t xml:space="preserve"> w </w:t>
      </w:r>
      <w:r w:rsidRPr="0011155D">
        <w:rPr>
          <w:rFonts w:ascii="Times New Roman" w:hAnsi="Times New Roman"/>
          <w:i/>
          <w:iCs/>
          <w:sz w:val="24"/>
          <w:szCs w:val="24"/>
        </w:rPr>
        <w:t>roku akademickim 202</w:t>
      </w:r>
      <w:r w:rsidRPr="0011155D" w:rsidR="762CC2C7">
        <w:rPr>
          <w:rFonts w:ascii="Times New Roman" w:hAnsi="Times New Roman"/>
          <w:i/>
          <w:iCs/>
          <w:sz w:val="24"/>
          <w:szCs w:val="24"/>
        </w:rPr>
        <w:t>2</w:t>
      </w:r>
      <w:r w:rsidRPr="0011155D">
        <w:rPr>
          <w:rFonts w:ascii="Times New Roman" w:hAnsi="Times New Roman"/>
          <w:i/>
          <w:iCs/>
          <w:sz w:val="24"/>
          <w:szCs w:val="24"/>
        </w:rPr>
        <w:t>/202</w:t>
      </w:r>
      <w:r w:rsidRPr="0011155D" w:rsidR="6CA7D4FB">
        <w:rPr>
          <w:rFonts w:ascii="Times New Roman" w:hAnsi="Times New Roman"/>
          <w:i/>
          <w:iCs/>
          <w:sz w:val="24"/>
          <w:szCs w:val="24"/>
        </w:rPr>
        <w:t>3</w:t>
      </w:r>
      <w:r w:rsidRPr="0011155D" w:rsidR="285A4AC0">
        <w:rPr>
          <w:rFonts w:ascii="Times New Roman" w:hAnsi="Times New Roman"/>
          <w:i/>
          <w:iCs/>
          <w:sz w:val="24"/>
          <w:szCs w:val="24"/>
        </w:rPr>
        <w:t>.</w:t>
      </w:r>
    </w:p>
    <w:p w:rsidRPr="0011155D" w:rsidR="02E543C9" w:rsidP="0011155D" w:rsidRDefault="02E543C9" w14:paraId="6ED732DE" w14:textId="31258CBF">
      <w:pPr>
        <w:pStyle w:val="Akapitzlist"/>
        <w:spacing w:after="0" w:line="360" w:lineRule="auto"/>
        <w:ind w:left="360"/>
        <w:jc w:val="both"/>
        <w:rPr>
          <w:rFonts w:ascii="Times New Roman" w:hAnsi="Times New Roman" w:eastAsiaTheme="minorEastAsia"/>
          <w:color w:val="000000" w:themeColor="text1"/>
          <w:sz w:val="24"/>
          <w:szCs w:val="24"/>
        </w:rPr>
      </w:pPr>
      <w:r w:rsidRPr="0011155D">
        <w:rPr>
          <w:rFonts w:ascii="Times New Roman" w:hAnsi="Times New Roman" w:eastAsiaTheme="minorEastAsia"/>
          <w:sz w:val="24"/>
          <w:szCs w:val="24"/>
        </w:rPr>
        <w:t xml:space="preserve">W ramach I edycji konkursu </w:t>
      </w:r>
      <w:r w:rsidRPr="0011155D">
        <w:rPr>
          <w:rFonts w:ascii="Times New Roman" w:hAnsi="Times New Roman" w:eastAsiaTheme="minorEastAsia"/>
          <w:i/>
          <w:iCs/>
          <w:sz w:val="24"/>
          <w:szCs w:val="24"/>
        </w:rPr>
        <w:t>„Wyróżnienia Jego Magnificencji Rektora UŚ za doskonałą dydaktykę”</w:t>
      </w:r>
      <w:r w:rsidRPr="0011155D">
        <w:rPr>
          <w:rFonts w:ascii="Times New Roman" w:hAnsi="Times New Roman" w:eastAsiaTheme="minorEastAsia"/>
          <w:sz w:val="24"/>
          <w:szCs w:val="24"/>
        </w:rPr>
        <w:t xml:space="preserve"> w trzech kategoriach konkursowych: </w:t>
      </w:r>
      <w:r w:rsidRPr="0011155D">
        <w:rPr>
          <w:rFonts w:ascii="Times New Roman" w:hAnsi="Times New Roman" w:eastAsiaTheme="minorEastAsia"/>
          <w:i/>
          <w:iCs/>
          <w:sz w:val="24"/>
          <w:szCs w:val="24"/>
        </w:rPr>
        <w:t>Praca ze studentami lub doktorantami, Innowacje dydaktyczne, Współpraca w ramach dydaktyki</w:t>
      </w:r>
      <w:r w:rsidRPr="0011155D">
        <w:rPr>
          <w:rFonts w:ascii="Times New Roman" w:hAnsi="Times New Roman" w:eastAsiaTheme="minorEastAsia"/>
          <w:sz w:val="24"/>
          <w:szCs w:val="24"/>
        </w:rPr>
        <w:t>, nagrodzonych przez JM Rektora listem gratulacyjnym zostało łącznie 94 nauczycielek i nauczycieli akademickich z</w:t>
      </w:r>
      <w:r w:rsidR="0029792E">
        <w:rPr>
          <w:rFonts w:ascii="Times New Roman" w:hAnsi="Times New Roman" w:eastAsiaTheme="minorEastAsia"/>
          <w:sz w:val="24"/>
          <w:szCs w:val="24"/>
        </w:rPr>
        <w:t> </w:t>
      </w:r>
      <w:r w:rsidRPr="0011155D">
        <w:rPr>
          <w:rFonts w:ascii="Times New Roman" w:hAnsi="Times New Roman" w:eastAsiaTheme="minorEastAsia"/>
          <w:sz w:val="24"/>
          <w:szCs w:val="24"/>
        </w:rPr>
        <w:t>9</w:t>
      </w:r>
      <w:r w:rsidR="0029792E">
        <w:rPr>
          <w:rFonts w:ascii="Times New Roman" w:hAnsi="Times New Roman" w:eastAsiaTheme="minorEastAsia"/>
          <w:sz w:val="24"/>
          <w:szCs w:val="24"/>
        </w:rPr>
        <w:t> </w:t>
      </w:r>
      <w:r w:rsidRPr="0011155D">
        <w:rPr>
          <w:rFonts w:ascii="Times New Roman" w:hAnsi="Times New Roman" w:eastAsiaTheme="minorEastAsia"/>
          <w:sz w:val="24"/>
          <w:szCs w:val="24"/>
        </w:rPr>
        <w:t xml:space="preserve">jednostek Uniwersytetu. W kategorii </w:t>
      </w:r>
      <w:r w:rsidRPr="0011155D">
        <w:rPr>
          <w:rFonts w:ascii="Times New Roman" w:hAnsi="Times New Roman" w:eastAsiaTheme="minorEastAsia"/>
          <w:i/>
          <w:iCs/>
          <w:sz w:val="24"/>
          <w:szCs w:val="24"/>
        </w:rPr>
        <w:t xml:space="preserve">Praca ze studentami lub doktorantami </w:t>
      </w:r>
      <w:r w:rsidRPr="0011155D">
        <w:rPr>
          <w:rFonts w:ascii="Times New Roman" w:hAnsi="Times New Roman" w:eastAsiaTheme="minorEastAsia"/>
          <w:sz w:val="24"/>
          <w:szCs w:val="24"/>
        </w:rPr>
        <w:t>nagrodzono 2</w:t>
      </w:r>
      <w:r w:rsidR="0029792E">
        <w:rPr>
          <w:rFonts w:ascii="Times New Roman" w:hAnsi="Times New Roman" w:eastAsiaTheme="minorEastAsia"/>
          <w:sz w:val="24"/>
          <w:szCs w:val="24"/>
        </w:rPr>
        <w:t>5 </w:t>
      </w:r>
      <w:r w:rsidRPr="0011155D">
        <w:rPr>
          <w:rFonts w:ascii="Times New Roman" w:hAnsi="Times New Roman" w:eastAsiaTheme="minorEastAsia"/>
          <w:sz w:val="24"/>
          <w:szCs w:val="24"/>
        </w:rPr>
        <w:t xml:space="preserve">osób, w kategorii </w:t>
      </w:r>
      <w:r w:rsidRPr="0011155D">
        <w:rPr>
          <w:rFonts w:ascii="Times New Roman" w:hAnsi="Times New Roman" w:eastAsiaTheme="minorEastAsia"/>
          <w:i/>
          <w:iCs/>
          <w:sz w:val="24"/>
          <w:szCs w:val="24"/>
        </w:rPr>
        <w:t>Innowacje dydaktyczne</w:t>
      </w:r>
      <w:r w:rsidRPr="0011155D">
        <w:rPr>
          <w:rFonts w:ascii="Times New Roman" w:hAnsi="Times New Roman" w:eastAsiaTheme="minorEastAsia"/>
          <w:sz w:val="24"/>
          <w:szCs w:val="24"/>
        </w:rPr>
        <w:t xml:space="preserve"> nagrodzono 59 osób, w kategorii </w:t>
      </w:r>
      <w:r w:rsidRPr="0011155D">
        <w:rPr>
          <w:rFonts w:ascii="Times New Roman" w:hAnsi="Times New Roman" w:eastAsiaTheme="minorEastAsia"/>
          <w:i/>
          <w:iCs/>
          <w:sz w:val="24"/>
          <w:szCs w:val="24"/>
        </w:rPr>
        <w:t>Współpraca w</w:t>
      </w:r>
      <w:r w:rsidR="0029792E">
        <w:rPr>
          <w:rFonts w:ascii="Times New Roman" w:hAnsi="Times New Roman" w:eastAsiaTheme="minorEastAsia"/>
          <w:i/>
          <w:iCs/>
          <w:sz w:val="24"/>
          <w:szCs w:val="24"/>
        </w:rPr>
        <w:t> </w:t>
      </w:r>
      <w:r w:rsidRPr="0011155D">
        <w:rPr>
          <w:rFonts w:ascii="Times New Roman" w:hAnsi="Times New Roman" w:eastAsiaTheme="minorEastAsia"/>
          <w:i/>
          <w:iCs/>
          <w:sz w:val="24"/>
          <w:szCs w:val="24"/>
        </w:rPr>
        <w:t>ramach dydaktyki</w:t>
      </w:r>
      <w:r w:rsidRPr="0011155D">
        <w:rPr>
          <w:rFonts w:ascii="Times New Roman" w:hAnsi="Times New Roman" w:eastAsiaTheme="minorEastAsia"/>
          <w:sz w:val="24"/>
          <w:szCs w:val="24"/>
        </w:rPr>
        <w:t xml:space="preserve"> nagrodzono 11 osób. Jedna osoba została nagrodzona w dwóch </w:t>
      </w:r>
      <w:r w:rsidRPr="0011155D">
        <w:rPr>
          <w:rFonts w:ascii="Times New Roman" w:hAnsi="Times New Roman" w:eastAsiaTheme="minorEastAsia"/>
          <w:sz w:val="24"/>
          <w:szCs w:val="24"/>
        </w:rPr>
        <w:lastRenderedPageBreak/>
        <w:t>kategoriach. Obok listu gratulacyjnego laureaci konkursu otrzymali również nagrody finansowe. Na sfinansowanie konkursu przeznaczono kwotę łącznie 70 000 zł, a wysokość nagrody indywidualnej wyniosła 729 zł brutto.</w:t>
      </w:r>
      <w:r w:rsidRPr="0011155D" w:rsidR="09EC3C13">
        <w:rPr>
          <w:rFonts w:ascii="Times New Roman" w:hAnsi="Times New Roman" w:eastAsiaTheme="minorEastAsia"/>
          <w:sz w:val="24"/>
          <w:szCs w:val="24"/>
        </w:rPr>
        <w:t xml:space="preserve"> Konkurs został rozstrzygnięty w roku akademickim 2022/2023.</w:t>
      </w:r>
    </w:p>
    <w:p w:rsidRPr="0011155D" w:rsidR="007F0ADC" w:rsidP="0011155D" w:rsidRDefault="007F0ADC" w14:paraId="4FC69545" w14:textId="592D796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55D">
        <w:rPr>
          <w:rFonts w:ascii="Times New Roman" w:hAnsi="Times New Roman"/>
          <w:i/>
          <w:iCs/>
          <w:sz w:val="24"/>
          <w:szCs w:val="24"/>
        </w:rPr>
        <w:t>Doskonały kierunek</w:t>
      </w:r>
      <w:r w:rsidRPr="0011155D">
        <w:rPr>
          <w:rFonts w:ascii="Times New Roman" w:hAnsi="Times New Roman"/>
          <w:sz w:val="24"/>
          <w:szCs w:val="24"/>
        </w:rPr>
        <w:t xml:space="preserve"> dla rad dydaktycznych kierunków studiów tworzących nowe lub</w:t>
      </w:r>
      <w:r w:rsidR="0029792E">
        <w:rPr>
          <w:rFonts w:ascii="Times New Roman" w:hAnsi="Times New Roman"/>
          <w:sz w:val="24"/>
          <w:szCs w:val="24"/>
        </w:rPr>
        <w:t> </w:t>
      </w:r>
      <w:r w:rsidRPr="0011155D">
        <w:rPr>
          <w:rFonts w:ascii="Times New Roman" w:hAnsi="Times New Roman"/>
          <w:sz w:val="24"/>
          <w:szCs w:val="24"/>
        </w:rPr>
        <w:t>modernizujących kierunkowe programy kształcenia zgodnie</w:t>
      </w:r>
      <w:r w:rsidRPr="0011155D" w:rsidR="00EB4E76">
        <w:rPr>
          <w:rFonts w:ascii="Times New Roman" w:hAnsi="Times New Roman"/>
          <w:sz w:val="24"/>
          <w:szCs w:val="24"/>
        </w:rPr>
        <w:t xml:space="preserve"> z </w:t>
      </w:r>
      <w:r w:rsidRPr="0011155D">
        <w:rPr>
          <w:rFonts w:ascii="Times New Roman" w:hAnsi="Times New Roman"/>
          <w:sz w:val="24"/>
          <w:szCs w:val="24"/>
        </w:rPr>
        <w:t xml:space="preserve">założeniami nowej koncepcji studiów. </w:t>
      </w:r>
    </w:p>
    <w:p w:rsidRPr="0011155D" w:rsidR="7FBEDFFD" w:rsidP="0011155D" w:rsidRDefault="7FBEDFFD" w14:paraId="5CFE15F2" w14:textId="45FC459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4F062333" w:rsidR="7FBEDFFD">
        <w:rPr>
          <w:rFonts w:ascii="Times New Roman" w:hAnsi="Times New Roman"/>
          <w:sz w:val="24"/>
          <w:szCs w:val="24"/>
          <w:lang w:eastAsia="pl-PL"/>
        </w:rPr>
        <w:t>Decyzją JM Rektora UŚ certyfikat</w:t>
      </w:r>
      <w:r w:rsidRPr="4F062333" w:rsidR="694370EB">
        <w:rPr>
          <w:rFonts w:ascii="Times New Roman" w:hAnsi="Times New Roman"/>
          <w:sz w:val="24"/>
          <w:szCs w:val="24"/>
          <w:lang w:eastAsia="pl-PL"/>
        </w:rPr>
        <w:t>em</w:t>
      </w:r>
      <w:r w:rsidRPr="4F062333" w:rsidR="7FBEDFFD">
        <w:rPr>
          <w:rFonts w:ascii="Times New Roman" w:hAnsi="Times New Roman"/>
          <w:sz w:val="24"/>
          <w:szCs w:val="24"/>
          <w:lang w:eastAsia="pl-PL"/>
        </w:rPr>
        <w:t xml:space="preserve"> “Doskonały kierunek”</w:t>
      </w:r>
      <w:r w:rsidRPr="4F062333" w:rsidR="339B5929">
        <w:rPr>
          <w:rFonts w:ascii="Times New Roman" w:hAnsi="Times New Roman"/>
          <w:sz w:val="24"/>
          <w:szCs w:val="24"/>
          <w:lang w:eastAsia="pl-PL"/>
        </w:rPr>
        <w:t xml:space="preserve"> nagrodzono pięć kierunków: administracja (</w:t>
      </w:r>
      <w:r w:rsidRPr="4F062333" w:rsidR="339B5929">
        <w:rPr>
          <w:rFonts w:ascii="Times New Roman" w:hAnsi="Times New Roman"/>
          <w:sz w:val="24"/>
          <w:szCs w:val="24"/>
          <w:lang w:eastAsia="pl-PL"/>
        </w:rPr>
        <w:t>WPiA</w:t>
      </w:r>
      <w:r w:rsidRPr="4F062333" w:rsidR="339B5929">
        <w:rPr>
          <w:rFonts w:ascii="Times New Roman" w:hAnsi="Times New Roman"/>
          <w:sz w:val="24"/>
          <w:szCs w:val="24"/>
          <w:lang w:eastAsia="pl-PL"/>
        </w:rPr>
        <w:t>),</w:t>
      </w:r>
      <w:r w:rsidRPr="4F062333" w:rsidR="0FD56C8B">
        <w:rPr>
          <w:rFonts w:ascii="Times New Roman" w:hAnsi="Times New Roman"/>
          <w:sz w:val="24"/>
          <w:szCs w:val="24"/>
          <w:lang w:eastAsia="pl-PL"/>
        </w:rPr>
        <w:t xml:space="preserve"> etnologia (WSNE), </w:t>
      </w:r>
      <w:r w:rsidRPr="4F062333" w:rsidR="0FD56C8B">
        <w:rPr>
          <w:rFonts w:ascii="Times New Roman" w:hAnsi="Times New Roman"/>
          <w:sz w:val="24"/>
          <w:szCs w:val="24"/>
          <w:lang w:eastAsia="pl-PL"/>
        </w:rPr>
        <w:t>kognitywistyka</w:t>
      </w:r>
      <w:r w:rsidRPr="4F062333" w:rsidR="0FD56C8B">
        <w:rPr>
          <w:rFonts w:ascii="Times New Roman" w:hAnsi="Times New Roman"/>
          <w:sz w:val="24"/>
          <w:szCs w:val="24"/>
          <w:lang w:eastAsia="pl-PL"/>
        </w:rPr>
        <w:t xml:space="preserve"> (WH), logopedia (WH) i studia czeskie w kulturze i biznesie (WSNE).</w:t>
      </w:r>
      <w:r w:rsidRPr="4F062333" w:rsidR="2439FF4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4F062333" w:rsidR="692D4661">
        <w:rPr>
          <w:rFonts w:ascii="Times New Roman" w:hAnsi="Times New Roman"/>
          <w:sz w:val="24"/>
          <w:szCs w:val="24"/>
          <w:lang w:eastAsia="pl-PL"/>
        </w:rPr>
        <w:t>Na sfinansowanie konkursu przeznaczono kwotę łącznie 35 000 zł</w:t>
      </w:r>
      <w:r w:rsidRPr="4F062333" w:rsidR="62C6AFFD">
        <w:rPr>
          <w:rFonts w:ascii="Times New Roman" w:hAnsi="Times New Roman"/>
          <w:sz w:val="24"/>
          <w:szCs w:val="24"/>
          <w:lang w:eastAsia="pl-PL"/>
        </w:rPr>
        <w:t xml:space="preserve">, a wysokość nagrody indywidualnej wyniosła 7 000 zł brutto. </w:t>
      </w:r>
    </w:p>
    <w:p w:rsidRPr="0011155D" w:rsidR="009259BE" w:rsidP="0011155D" w:rsidRDefault="4BF08632" w14:paraId="065F8179" w14:textId="75A00A70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>Przewidziane</w:t>
      </w:r>
      <w:r w:rsidRPr="0011155D" w:rsidR="432F187D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cs="Times New Roman"/>
          <w:sz w:val="24"/>
          <w:szCs w:val="24"/>
        </w:rPr>
        <w:t>ob</w:t>
      </w:r>
      <w:r w:rsidRPr="0011155D" w:rsidR="1412FF93">
        <w:rPr>
          <w:rFonts w:ascii="Times New Roman" w:hAnsi="Times New Roman" w:cs="Times New Roman"/>
          <w:sz w:val="24"/>
          <w:szCs w:val="24"/>
        </w:rPr>
        <w:t>ydw</w:t>
      </w:r>
      <w:r w:rsidRPr="0011155D">
        <w:rPr>
          <w:rFonts w:ascii="Times New Roman" w:hAnsi="Times New Roman" w:cs="Times New Roman"/>
          <w:sz w:val="24"/>
          <w:szCs w:val="24"/>
        </w:rPr>
        <w:t>u zainicjowanych konkursach nagrody</w:t>
      </w:r>
      <w:r w:rsidRPr="0011155D" w:rsidR="75239C3F">
        <w:rPr>
          <w:rFonts w:ascii="Times New Roman" w:hAnsi="Times New Roman" w:cs="Times New Roman"/>
          <w:sz w:val="24"/>
          <w:szCs w:val="24"/>
        </w:rPr>
        <w:t xml:space="preserve"> zostały sfinansowane</w:t>
      </w:r>
      <w:r w:rsidRPr="0011155D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2C39658A">
        <w:rPr>
          <w:rFonts w:ascii="Times New Roman" w:hAnsi="Times New Roman" w:cs="Times New Roman"/>
          <w:sz w:val="24"/>
          <w:szCs w:val="24"/>
        </w:rPr>
        <w:t>z</w:t>
      </w:r>
      <w:r w:rsidR="0029792E">
        <w:rPr>
          <w:rFonts w:ascii="Times New Roman" w:hAnsi="Times New Roman" w:cs="Times New Roman"/>
          <w:sz w:val="24"/>
          <w:szCs w:val="24"/>
        </w:rPr>
        <w:t> </w:t>
      </w:r>
      <w:r w:rsidRPr="0011155D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>Inicjatywa Doskonałości Badawczej</w:t>
      </w:r>
      <w:r w:rsidRPr="0011155D" w:rsidR="20EB9D3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1155D" w:rsidR="20EB9D30">
        <w:rPr>
          <w:rFonts w:ascii="Times New Roman" w:hAnsi="Times New Roman" w:cs="Times New Roman"/>
          <w:sz w:val="24"/>
          <w:szCs w:val="24"/>
        </w:rPr>
        <w:t>która zakłada m.in. stworzenie najlepszych warunków do r</w:t>
      </w:r>
      <w:r w:rsidRPr="0011155D" w:rsidR="501E6565">
        <w:rPr>
          <w:rFonts w:ascii="Times New Roman" w:hAnsi="Times New Roman" w:cs="Times New Roman"/>
          <w:sz w:val="24"/>
          <w:szCs w:val="24"/>
        </w:rPr>
        <w:t>ozwoju zawodowego pracowników Uniwersytetu Śląskiego w Katowicach, w</w:t>
      </w:r>
      <w:r w:rsidR="0029792E">
        <w:rPr>
          <w:rFonts w:ascii="Times New Roman" w:hAnsi="Times New Roman" w:cs="Times New Roman"/>
          <w:sz w:val="24"/>
          <w:szCs w:val="24"/>
        </w:rPr>
        <w:t> </w:t>
      </w:r>
      <w:r w:rsidRPr="0011155D" w:rsidR="501E6565">
        <w:rPr>
          <w:rFonts w:ascii="Times New Roman" w:hAnsi="Times New Roman" w:cs="Times New Roman"/>
          <w:sz w:val="24"/>
          <w:szCs w:val="24"/>
        </w:rPr>
        <w:t>tym budowanie i podnoszenie kompete</w:t>
      </w:r>
      <w:r w:rsidRPr="0011155D" w:rsidR="33F2D94A">
        <w:rPr>
          <w:rFonts w:ascii="Times New Roman" w:hAnsi="Times New Roman" w:cs="Times New Roman"/>
          <w:sz w:val="24"/>
          <w:szCs w:val="24"/>
        </w:rPr>
        <w:t xml:space="preserve">ncji badawczych oraz dydaktycznych kadry naukowej. </w:t>
      </w:r>
    </w:p>
    <w:p w:rsidRPr="0011155D" w:rsidR="009259BE" w:rsidP="0011155D" w:rsidRDefault="009259BE" w14:paraId="12591736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1155D" w:rsidR="00765CB8" w:rsidP="0011155D" w:rsidRDefault="00765CB8" w14:paraId="3320B55F" w14:textId="2391F071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155D">
        <w:rPr>
          <w:rFonts w:ascii="Times New Roman" w:hAnsi="Times New Roman"/>
          <w:b/>
          <w:bCs/>
          <w:i/>
          <w:iCs/>
          <w:sz w:val="24"/>
          <w:szCs w:val="24"/>
        </w:rPr>
        <w:t>Międzynarodowy Kongres Jakości Kształcenia</w:t>
      </w:r>
      <w:r w:rsidRPr="0011155D" w:rsidR="0039575B"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 w:rsidRPr="0011155D" w:rsidR="0039575B">
        <w:rPr>
          <w:rFonts w:ascii="Times New Roman" w:hAnsi="Times New Roman"/>
          <w:sz w:val="24"/>
          <w:szCs w:val="24"/>
        </w:rPr>
        <w:t xml:space="preserve"> ICEQ</w:t>
      </w:r>
    </w:p>
    <w:p w:rsidRPr="0011155D" w:rsidR="00C762D8" w:rsidP="0011155D" w:rsidRDefault="00765CB8" w14:paraId="5A6E2833" w14:textId="1812028D"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>W ro</w:t>
      </w:r>
      <w:r w:rsidRPr="0011155D" w:rsidR="00C762D8">
        <w:rPr>
          <w:rFonts w:ascii="Times New Roman" w:hAnsi="Times New Roman" w:cs="Times New Roman"/>
          <w:sz w:val="24"/>
          <w:szCs w:val="24"/>
        </w:rPr>
        <w:t>ku akademickim 202</w:t>
      </w:r>
      <w:r w:rsidRPr="0011155D" w:rsidR="1F2A45AC">
        <w:rPr>
          <w:rFonts w:ascii="Times New Roman" w:hAnsi="Times New Roman" w:cs="Times New Roman"/>
          <w:sz w:val="24"/>
          <w:szCs w:val="24"/>
        </w:rPr>
        <w:t>2</w:t>
      </w:r>
      <w:r w:rsidRPr="0011155D" w:rsidR="00C762D8">
        <w:rPr>
          <w:rFonts w:ascii="Times New Roman" w:hAnsi="Times New Roman" w:cs="Times New Roman"/>
          <w:sz w:val="24"/>
          <w:szCs w:val="24"/>
        </w:rPr>
        <w:t>/202</w:t>
      </w:r>
      <w:r w:rsidRPr="0011155D" w:rsidR="2CE8EB6C">
        <w:rPr>
          <w:rFonts w:ascii="Times New Roman" w:hAnsi="Times New Roman" w:cs="Times New Roman"/>
          <w:sz w:val="24"/>
          <w:szCs w:val="24"/>
        </w:rPr>
        <w:t>3</w:t>
      </w:r>
      <w:r w:rsidRPr="0011155D" w:rsidR="00C762D8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4EA7186F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11155D" w:rsidR="5F613CE5">
        <w:rPr>
          <w:rFonts w:ascii="Times New Roman" w:hAnsi="Times New Roman" w:cs="Times New Roman"/>
          <w:sz w:val="24"/>
          <w:szCs w:val="24"/>
        </w:rPr>
        <w:t>16-18 listopada 2022</w:t>
      </w:r>
      <w:r w:rsidRPr="0011155D" w:rsidR="463FC906">
        <w:rPr>
          <w:rFonts w:ascii="Times New Roman" w:hAnsi="Times New Roman" w:cs="Times New Roman"/>
          <w:sz w:val="24"/>
          <w:szCs w:val="24"/>
        </w:rPr>
        <w:t xml:space="preserve"> r.</w:t>
      </w:r>
      <w:r w:rsidRPr="0011155D" w:rsidR="5F613CE5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1A395A62">
        <w:rPr>
          <w:rFonts w:ascii="Times New Roman" w:hAnsi="Times New Roman" w:cs="Times New Roman"/>
          <w:sz w:val="24"/>
          <w:szCs w:val="24"/>
        </w:rPr>
        <w:t xml:space="preserve">odbyła się </w:t>
      </w:r>
      <w:r w:rsidRPr="0011155D" w:rsidR="079911DF">
        <w:rPr>
          <w:rFonts w:ascii="Times New Roman" w:hAnsi="Times New Roman" w:cs="Times New Roman"/>
          <w:sz w:val="24"/>
          <w:szCs w:val="24"/>
        </w:rPr>
        <w:t>pierwsza</w:t>
      </w:r>
      <w:r w:rsidRPr="0011155D" w:rsidR="1A395A62">
        <w:rPr>
          <w:rFonts w:ascii="Times New Roman" w:hAnsi="Times New Roman" w:cs="Times New Roman"/>
          <w:sz w:val="24"/>
          <w:szCs w:val="24"/>
        </w:rPr>
        <w:t xml:space="preserve"> edycja</w:t>
      </w:r>
      <w:r w:rsidRPr="0011155D" w:rsidR="001761FE">
        <w:rPr>
          <w:rFonts w:ascii="Times New Roman" w:hAnsi="Times New Roman" w:cs="Times New Roman"/>
          <w:sz w:val="24"/>
          <w:szCs w:val="24"/>
        </w:rPr>
        <w:t xml:space="preserve"> 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>Międzynarodow</w:t>
      </w:r>
      <w:r w:rsidRPr="0011155D" w:rsidR="62E4BC26">
        <w:rPr>
          <w:rFonts w:ascii="Times New Roman" w:hAnsi="Times New Roman" w:cs="Times New Roman"/>
          <w:i/>
          <w:iCs/>
          <w:sz w:val="24"/>
          <w:szCs w:val="24"/>
        </w:rPr>
        <w:t>ego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 xml:space="preserve"> Kongres</w:t>
      </w:r>
      <w:r w:rsidRPr="0011155D" w:rsidR="5DBF493C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1155D">
        <w:rPr>
          <w:rFonts w:ascii="Times New Roman" w:hAnsi="Times New Roman" w:cs="Times New Roman"/>
          <w:i/>
          <w:iCs/>
          <w:sz w:val="24"/>
          <w:szCs w:val="24"/>
        </w:rPr>
        <w:t xml:space="preserve"> Jakości Kształcenia</w:t>
      </w:r>
      <w:r w:rsidRPr="0011155D" w:rsidR="001761FE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001B4EDB">
        <w:rPr>
          <w:rFonts w:ascii="Times New Roman" w:hAnsi="Times New Roman" w:cs="Times New Roman"/>
          <w:sz w:val="24"/>
          <w:szCs w:val="24"/>
        </w:rPr>
        <w:t xml:space="preserve">(ang. </w:t>
      </w:r>
      <w:r w:rsidRPr="0011155D" w:rsidR="001761FE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001B4EDB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proofErr w:type="spellStart"/>
      <w:r w:rsidRPr="0011155D" w:rsidR="001B4EDB">
        <w:rPr>
          <w:rFonts w:ascii="Times New Roman" w:hAnsi="Times New Roman" w:cs="Times New Roman"/>
          <w:i/>
          <w:iCs/>
          <w:sz w:val="24"/>
          <w:szCs w:val="24"/>
        </w:rPr>
        <w:t>Congress</w:t>
      </w:r>
      <w:proofErr w:type="spellEnd"/>
      <w:r w:rsidRPr="0011155D" w:rsidR="001B4EDB">
        <w:rPr>
          <w:rFonts w:ascii="Times New Roman" w:hAnsi="Times New Roman" w:cs="Times New Roman"/>
          <w:i/>
          <w:iCs/>
          <w:sz w:val="24"/>
          <w:szCs w:val="24"/>
        </w:rPr>
        <w:t xml:space="preserve"> on</w:t>
      </w:r>
      <w:r w:rsidR="0029792E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11155D" w:rsidR="001B4EDB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11155D" w:rsidR="001B4E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155D" w:rsidR="001B4EDB">
        <w:rPr>
          <w:rFonts w:ascii="Times New Roman" w:hAnsi="Times New Roman" w:cs="Times New Roman"/>
          <w:i/>
          <w:iCs/>
          <w:sz w:val="24"/>
          <w:szCs w:val="24"/>
        </w:rPr>
        <w:t>Quality</w:t>
      </w:r>
      <w:proofErr w:type="spellEnd"/>
      <w:r w:rsidRPr="0011155D" w:rsidR="001B4EDB">
        <w:rPr>
          <w:rFonts w:ascii="Times New Roman" w:hAnsi="Times New Roman" w:cs="Times New Roman"/>
          <w:sz w:val="24"/>
          <w:szCs w:val="24"/>
        </w:rPr>
        <w:t>,</w:t>
      </w:r>
      <w:r w:rsidRPr="0011155D" w:rsidR="00EB4E76">
        <w:rPr>
          <w:rFonts w:ascii="Times New Roman" w:hAnsi="Times New Roman" w:cs="Times New Roman"/>
          <w:sz w:val="24"/>
          <w:szCs w:val="24"/>
        </w:rPr>
        <w:t xml:space="preserve"> w </w:t>
      </w:r>
      <w:r w:rsidRPr="0011155D" w:rsidR="001B4EDB">
        <w:rPr>
          <w:rFonts w:ascii="Times New Roman" w:hAnsi="Times New Roman" w:cs="Times New Roman"/>
          <w:sz w:val="24"/>
          <w:szCs w:val="24"/>
        </w:rPr>
        <w:t>skrócie ICEQ)</w:t>
      </w:r>
      <w:r w:rsidRPr="0011155D">
        <w:rPr>
          <w:rFonts w:ascii="Times New Roman" w:hAnsi="Times New Roman" w:cs="Times New Roman"/>
          <w:sz w:val="24"/>
          <w:szCs w:val="24"/>
        </w:rPr>
        <w:t>.</w:t>
      </w:r>
      <w:r w:rsidRPr="0011155D" w:rsidR="447256B4">
        <w:rPr>
          <w:rFonts w:ascii="Times New Roman" w:hAnsi="Times New Roman" w:cs="Times New Roman"/>
          <w:sz w:val="24"/>
          <w:szCs w:val="24"/>
        </w:rPr>
        <w:t xml:space="preserve"> </w:t>
      </w:r>
      <w:r w:rsidRPr="0011155D" w:rsidR="186813EE">
        <w:rPr>
          <w:rFonts w:ascii="Times New Roman" w:hAnsi="Times New Roman" w:cs="Times New Roman"/>
          <w:sz w:val="24"/>
          <w:szCs w:val="24"/>
        </w:rPr>
        <w:t>O</w:t>
      </w:r>
      <w:r w:rsidRPr="0011155D" w:rsidR="06278A0B">
        <w:rPr>
          <w:rFonts w:ascii="Times New Roman" w:hAnsi="Times New Roman" w:cs="Times New Roman"/>
          <w:sz w:val="24"/>
          <w:szCs w:val="24"/>
        </w:rPr>
        <w:t>rganizatorami Kongresu</w:t>
      </w:r>
      <w:r w:rsidRPr="0011155D" w:rsidR="4072A68D">
        <w:rPr>
          <w:rFonts w:ascii="Times New Roman" w:hAnsi="Times New Roman" w:cs="Times New Roman"/>
          <w:sz w:val="24"/>
          <w:szCs w:val="24"/>
        </w:rPr>
        <w:t>, pomyślanego jako</w:t>
      </w:r>
      <w:r w:rsidRPr="0011155D" w:rsidR="5AF56FA8">
        <w:rPr>
          <w:rFonts w:ascii="Times New Roman" w:hAnsi="Times New Roman" w:cs="Times New Roman"/>
          <w:sz w:val="24"/>
          <w:szCs w:val="24"/>
        </w:rPr>
        <w:t xml:space="preserve"> wydarzenie cykliczn</w:t>
      </w:r>
      <w:r w:rsidRPr="0011155D" w:rsidR="1FF37791">
        <w:rPr>
          <w:rFonts w:ascii="Times New Roman" w:hAnsi="Times New Roman" w:cs="Times New Roman"/>
          <w:sz w:val="24"/>
          <w:szCs w:val="24"/>
        </w:rPr>
        <w:t>e</w:t>
      </w:r>
      <w:r w:rsidRPr="0011155D" w:rsidR="5AF56FA8">
        <w:rPr>
          <w:rFonts w:ascii="Times New Roman" w:hAnsi="Times New Roman" w:cs="Times New Roman"/>
          <w:sz w:val="24"/>
          <w:szCs w:val="24"/>
        </w:rPr>
        <w:t>,</w:t>
      </w:r>
      <w:r w:rsidRPr="0011155D" w:rsidR="06278A0B">
        <w:rPr>
          <w:rFonts w:ascii="Times New Roman" w:hAnsi="Times New Roman" w:cs="Times New Roman"/>
          <w:sz w:val="24"/>
          <w:szCs w:val="24"/>
        </w:rPr>
        <w:t xml:space="preserve"> są </w:t>
      </w:r>
      <w:r w:rsidRPr="0011155D" w:rsidR="6C2904A8">
        <w:rPr>
          <w:rFonts w:ascii="Times New Roman" w:hAnsi="Times New Roman" w:cs="Times New Roman"/>
          <w:sz w:val="24"/>
          <w:szCs w:val="24"/>
        </w:rPr>
        <w:t xml:space="preserve">śląskie </w:t>
      </w:r>
      <w:r w:rsidRPr="0011155D" w:rsidR="06278A0B">
        <w:rPr>
          <w:rFonts w:ascii="Times New Roman" w:hAnsi="Times New Roman" w:cs="Times New Roman"/>
          <w:sz w:val="24"/>
          <w:szCs w:val="24"/>
        </w:rPr>
        <w:t>uczelnie</w:t>
      </w:r>
      <w:r w:rsidRPr="0011155D" w:rsidR="6AED59BE">
        <w:rPr>
          <w:rFonts w:ascii="Times New Roman" w:hAnsi="Times New Roman" w:cs="Times New Roman"/>
          <w:sz w:val="24"/>
          <w:szCs w:val="24"/>
        </w:rPr>
        <w:t xml:space="preserve"> publiczne</w:t>
      </w:r>
      <w:r w:rsidRPr="0011155D" w:rsidR="06278A0B">
        <w:rPr>
          <w:rFonts w:ascii="Times New Roman" w:hAnsi="Times New Roman" w:cs="Times New Roman"/>
          <w:sz w:val="24"/>
          <w:szCs w:val="24"/>
        </w:rPr>
        <w:t xml:space="preserve"> wchodzące w skład Konsorcjum Akademickiego – Katowice </w:t>
      </w:r>
      <w:r w:rsidRPr="0011155D" w:rsidR="6991F5B6">
        <w:rPr>
          <w:rFonts w:ascii="Times New Roman" w:hAnsi="Times New Roman" w:cs="Times New Roman"/>
          <w:sz w:val="24"/>
          <w:szCs w:val="24"/>
        </w:rPr>
        <w:t>Miasto Nauki</w:t>
      </w:r>
      <w:r w:rsidRPr="0011155D" w:rsidR="25923B9F">
        <w:rPr>
          <w:rFonts w:ascii="Times New Roman" w:hAnsi="Times New Roman" w:cs="Times New Roman"/>
          <w:sz w:val="24"/>
          <w:szCs w:val="24"/>
        </w:rPr>
        <w:t xml:space="preserve"> (</w:t>
      </w:r>
      <w:r w:rsidRPr="0011155D" w:rsidR="3D2CA254">
        <w:rPr>
          <w:rFonts w:ascii="Times New Roman" w:hAnsi="Times New Roman" w:cs="Times New Roman"/>
          <w:sz w:val="24"/>
          <w:szCs w:val="24"/>
        </w:rPr>
        <w:t>Uniwersytet Śląski w Katowicach</w:t>
      </w:r>
      <w:r w:rsidRPr="0011155D" w:rsidR="73AB0C39">
        <w:rPr>
          <w:rFonts w:ascii="Times New Roman" w:hAnsi="Times New Roman" w:cs="Times New Roman"/>
          <w:sz w:val="24"/>
          <w:szCs w:val="24"/>
        </w:rPr>
        <w:t xml:space="preserve"> – inicjator i lider Konsorcjum</w:t>
      </w:r>
      <w:r w:rsidRPr="0011155D" w:rsidR="764BB0BC">
        <w:rPr>
          <w:rFonts w:ascii="Times New Roman" w:hAnsi="Times New Roman" w:cs="Times New Roman"/>
          <w:sz w:val="24"/>
          <w:szCs w:val="24"/>
        </w:rPr>
        <w:t xml:space="preserve">, </w:t>
      </w:r>
      <w:r w:rsidRPr="0011155D" w:rsidR="25923B9F">
        <w:rPr>
          <w:rFonts w:ascii="Times New Roman" w:hAnsi="Times New Roman" w:cs="Times New Roman"/>
          <w:sz w:val="24"/>
          <w:szCs w:val="24"/>
        </w:rPr>
        <w:t>Akademia Muzyczna im. Karola Szymanowskiego w Katowicach, Akademia Sztuk Pięknych w Katowicach, Akademia Wychowania Fizycznego im. Jerzego Kukuczki w</w:t>
      </w:r>
      <w:r w:rsidR="0029792E">
        <w:rPr>
          <w:rFonts w:ascii="Times New Roman" w:hAnsi="Times New Roman" w:cs="Times New Roman"/>
          <w:sz w:val="24"/>
          <w:szCs w:val="24"/>
        </w:rPr>
        <w:t> </w:t>
      </w:r>
      <w:r w:rsidRPr="0011155D" w:rsidR="25923B9F">
        <w:rPr>
          <w:rFonts w:ascii="Times New Roman" w:hAnsi="Times New Roman" w:cs="Times New Roman"/>
          <w:sz w:val="24"/>
          <w:szCs w:val="24"/>
        </w:rPr>
        <w:t>Katowicach, Politechnika Śląska, Śląski Uniwersytet Medyczny oraz Uniwersytet Ekonomiczny w</w:t>
      </w:r>
      <w:r w:rsidR="0029792E">
        <w:rPr>
          <w:rFonts w:ascii="Times New Roman" w:hAnsi="Times New Roman" w:cs="Times New Roman"/>
          <w:sz w:val="24"/>
          <w:szCs w:val="24"/>
        </w:rPr>
        <w:t> </w:t>
      </w:r>
      <w:r w:rsidRPr="0011155D" w:rsidR="25923B9F">
        <w:rPr>
          <w:rFonts w:ascii="Times New Roman" w:hAnsi="Times New Roman" w:cs="Times New Roman"/>
          <w:sz w:val="24"/>
          <w:szCs w:val="24"/>
        </w:rPr>
        <w:t>Katowicach).</w:t>
      </w:r>
    </w:p>
    <w:p w:rsidRPr="0011155D" w:rsidR="009259BE" w:rsidP="0011155D" w:rsidRDefault="454A9F2E" w14:paraId="71B6827A" w14:textId="27629296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55D">
        <w:rPr>
          <w:rFonts w:ascii="Times New Roman" w:hAnsi="Times New Roman"/>
          <w:sz w:val="24"/>
          <w:szCs w:val="24"/>
        </w:rPr>
        <w:t xml:space="preserve">Kongres </w:t>
      </w:r>
      <w:r w:rsidRPr="0011155D" w:rsidR="3B02DE21">
        <w:rPr>
          <w:rFonts w:ascii="Times New Roman" w:hAnsi="Times New Roman"/>
          <w:sz w:val="24"/>
          <w:szCs w:val="24"/>
        </w:rPr>
        <w:t>jest</w:t>
      </w:r>
      <w:r w:rsidRPr="0011155D">
        <w:rPr>
          <w:rFonts w:ascii="Times New Roman" w:hAnsi="Times New Roman"/>
          <w:sz w:val="24"/>
          <w:szCs w:val="24"/>
        </w:rPr>
        <w:t xml:space="preserve"> przedsięwzięciem,</w:t>
      </w:r>
      <w:r w:rsidRPr="0011155D" w:rsidR="432F187D">
        <w:rPr>
          <w:rFonts w:ascii="Times New Roman" w:hAnsi="Times New Roman"/>
          <w:sz w:val="24"/>
          <w:szCs w:val="24"/>
        </w:rPr>
        <w:t xml:space="preserve"> w </w:t>
      </w:r>
      <w:r w:rsidRPr="0011155D">
        <w:rPr>
          <w:rFonts w:ascii="Times New Roman" w:hAnsi="Times New Roman"/>
          <w:sz w:val="24"/>
          <w:szCs w:val="24"/>
        </w:rPr>
        <w:t>ramach którego</w:t>
      </w:r>
      <w:r w:rsidRPr="0011155D" w:rsidR="62862F29">
        <w:rPr>
          <w:rFonts w:ascii="Times New Roman" w:hAnsi="Times New Roman"/>
          <w:sz w:val="24"/>
          <w:szCs w:val="24"/>
        </w:rPr>
        <w:t xml:space="preserve"> zaplanowano</w:t>
      </w:r>
      <w:r w:rsidRPr="0011155D">
        <w:rPr>
          <w:rFonts w:ascii="Times New Roman" w:hAnsi="Times New Roman"/>
          <w:sz w:val="24"/>
          <w:szCs w:val="24"/>
        </w:rPr>
        <w:t xml:space="preserve"> organizację </w:t>
      </w:r>
      <w:r w:rsidRPr="0011155D" w:rsidR="2B6F42F8">
        <w:rPr>
          <w:rFonts w:ascii="Times New Roman" w:hAnsi="Times New Roman"/>
          <w:sz w:val="24"/>
          <w:szCs w:val="24"/>
        </w:rPr>
        <w:t>seri</w:t>
      </w:r>
      <w:r w:rsidRPr="0011155D" w:rsidR="70E66778">
        <w:rPr>
          <w:rFonts w:ascii="Times New Roman" w:hAnsi="Times New Roman"/>
          <w:sz w:val="24"/>
          <w:szCs w:val="24"/>
        </w:rPr>
        <w:t>i</w:t>
      </w:r>
      <w:r w:rsidRPr="0011155D" w:rsidR="2B6F42F8">
        <w:rPr>
          <w:rFonts w:ascii="Times New Roman" w:hAnsi="Times New Roman"/>
          <w:sz w:val="24"/>
          <w:szCs w:val="24"/>
        </w:rPr>
        <w:t xml:space="preserve"> </w:t>
      </w:r>
      <w:r w:rsidRPr="0011155D" w:rsidR="5947C49B">
        <w:rPr>
          <w:rFonts w:ascii="Times New Roman" w:hAnsi="Times New Roman"/>
          <w:sz w:val="24"/>
          <w:szCs w:val="24"/>
        </w:rPr>
        <w:t>spotkań poświęconych problematyce jakości kształcenia.</w:t>
      </w:r>
      <w:r w:rsidRPr="0011155D">
        <w:rPr>
          <w:rFonts w:ascii="Times New Roman" w:hAnsi="Times New Roman"/>
          <w:sz w:val="24"/>
          <w:szCs w:val="24"/>
        </w:rPr>
        <w:t xml:space="preserve"> </w:t>
      </w:r>
      <w:r w:rsidRPr="0011155D">
        <w:rPr>
          <w:rFonts w:ascii="Times New Roman" w:hAnsi="Times New Roman" w:eastAsiaTheme="minorEastAsia"/>
          <w:sz w:val="24"/>
          <w:szCs w:val="24"/>
        </w:rPr>
        <w:t>Tematyka swoim zakresem obejmowa</w:t>
      </w:r>
      <w:r w:rsidRPr="0011155D" w:rsidR="26EB90FA">
        <w:rPr>
          <w:rFonts w:ascii="Times New Roman" w:hAnsi="Times New Roman" w:eastAsiaTheme="minorEastAsia"/>
          <w:sz w:val="24"/>
          <w:szCs w:val="24"/>
        </w:rPr>
        <w:t>ła</w:t>
      </w:r>
      <w:r w:rsidRPr="0011155D">
        <w:rPr>
          <w:rFonts w:ascii="Times New Roman" w:hAnsi="Times New Roman" w:eastAsiaTheme="minorEastAsia"/>
          <w:sz w:val="24"/>
          <w:szCs w:val="24"/>
        </w:rPr>
        <w:t xml:space="preserve"> m.in. zagadnienia dotyczące systemów zapewnienia</w:t>
      </w:r>
      <w:r w:rsidRPr="0011155D" w:rsidR="432F187D">
        <w:rPr>
          <w:rFonts w:ascii="Times New Roman" w:hAnsi="Times New Roman" w:eastAsiaTheme="minorEastAsia"/>
          <w:sz w:val="24"/>
          <w:szCs w:val="24"/>
        </w:rPr>
        <w:t xml:space="preserve"> i </w:t>
      </w:r>
      <w:r w:rsidRPr="0011155D" w:rsidR="2B6F42F8">
        <w:rPr>
          <w:rFonts w:ascii="Times New Roman" w:hAnsi="Times New Roman" w:eastAsiaTheme="minorEastAsia"/>
          <w:sz w:val="24"/>
          <w:szCs w:val="24"/>
        </w:rPr>
        <w:t>doskonalenia</w:t>
      </w:r>
      <w:r w:rsidRPr="0011155D">
        <w:rPr>
          <w:rFonts w:ascii="Times New Roman" w:hAnsi="Times New Roman" w:eastAsiaTheme="minorEastAsia"/>
          <w:sz w:val="24"/>
          <w:szCs w:val="24"/>
        </w:rPr>
        <w:t xml:space="preserve"> jakości kształcenia, monitorowania jakości kształcenia, akredytacji, umiędzynarodowienia kształcenia, </w:t>
      </w:r>
      <w:r w:rsidRPr="0011155D">
        <w:rPr>
          <w:rFonts w:ascii="Times New Roman" w:hAnsi="Times New Roman" w:eastAsiaTheme="minorEastAsia"/>
          <w:sz w:val="24"/>
          <w:szCs w:val="24"/>
        </w:rPr>
        <w:lastRenderedPageBreak/>
        <w:t>ro</w:t>
      </w:r>
      <w:r w:rsidRPr="0011155D" w:rsidR="5CB63992">
        <w:rPr>
          <w:rFonts w:ascii="Times New Roman" w:hAnsi="Times New Roman" w:eastAsiaTheme="minorEastAsia"/>
          <w:sz w:val="24"/>
          <w:szCs w:val="24"/>
        </w:rPr>
        <w:t xml:space="preserve">zwoju kompetencji dydaktycznych </w:t>
      </w:r>
      <w:r w:rsidRPr="0011155D" w:rsidR="2B6F42F8">
        <w:rPr>
          <w:rFonts w:ascii="Times New Roman" w:hAnsi="Times New Roman" w:eastAsiaTheme="minorEastAsia"/>
          <w:sz w:val="24"/>
          <w:szCs w:val="24"/>
        </w:rPr>
        <w:t>oraz problematyki</w:t>
      </w:r>
      <w:r w:rsidRPr="0011155D">
        <w:rPr>
          <w:rFonts w:ascii="Times New Roman" w:hAnsi="Times New Roman" w:eastAsiaTheme="minorEastAsia"/>
          <w:sz w:val="24"/>
          <w:szCs w:val="24"/>
        </w:rPr>
        <w:t xml:space="preserve"> kształcenia zdalnego. </w:t>
      </w:r>
      <w:r w:rsidRPr="0011155D">
        <w:rPr>
          <w:rFonts w:ascii="Times New Roman" w:hAnsi="Times New Roman"/>
          <w:sz w:val="24"/>
          <w:szCs w:val="24"/>
        </w:rPr>
        <w:t xml:space="preserve">Trzydniowy </w:t>
      </w:r>
      <w:r w:rsidRPr="0011155D" w:rsidR="62862F29">
        <w:rPr>
          <w:rFonts w:ascii="Times New Roman" w:hAnsi="Times New Roman"/>
          <w:sz w:val="24"/>
          <w:szCs w:val="24"/>
        </w:rPr>
        <w:t xml:space="preserve">Kongres </w:t>
      </w:r>
      <w:r w:rsidRPr="0011155D" w:rsidR="629ED3AA">
        <w:rPr>
          <w:rFonts w:ascii="Times New Roman" w:hAnsi="Times New Roman"/>
          <w:sz w:val="24"/>
          <w:szCs w:val="24"/>
        </w:rPr>
        <w:t>był</w:t>
      </w:r>
      <w:r w:rsidRPr="0011155D">
        <w:rPr>
          <w:rFonts w:ascii="Times New Roman" w:hAnsi="Times New Roman"/>
          <w:sz w:val="24"/>
          <w:szCs w:val="24"/>
        </w:rPr>
        <w:t xml:space="preserve"> skierowany do nauczycieli akademickich, osób studiujących, osób kreujących</w:t>
      </w:r>
      <w:r w:rsidRPr="0011155D" w:rsidR="432F187D">
        <w:rPr>
          <w:rFonts w:ascii="Times New Roman" w:hAnsi="Times New Roman"/>
          <w:sz w:val="24"/>
          <w:szCs w:val="24"/>
        </w:rPr>
        <w:t xml:space="preserve"> i </w:t>
      </w:r>
      <w:r w:rsidRPr="0011155D">
        <w:rPr>
          <w:rFonts w:ascii="Times New Roman" w:hAnsi="Times New Roman"/>
          <w:sz w:val="24"/>
          <w:szCs w:val="24"/>
        </w:rPr>
        <w:t>organizujących dydaktykę akademicką,</w:t>
      </w:r>
      <w:r w:rsidRPr="0011155D" w:rsidR="625D7559">
        <w:rPr>
          <w:rFonts w:ascii="Times New Roman" w:hAnsi="Times New Roman"/>
          <w:sz w:val="24"/>
          <w:szCs w:val="24"/>
        </w:rPr>
        <w:t xml:space="preserve"> a </w:t>
      </w:r>
      <w:r w:rsidRPr="0011155D">
        <w:rPr>
          <w:rFonts w:ascii="Times New Roman" w:hAnsi="Times New Roman"/>
          <w:sz w:val="24"/>
          <w:szCs w:val="24"/>
        </w:rPr>
        <w:t xml:space="preserve">także osób odpowiedzialnych za monitorowanie </w:t>
      </w:r>
      <w:r w:rsidRPr="0011155D" w:rsidR="2B6F42F8">
        <w:rPr>
          <w:rFonts w:ascii="Times New Roman" w:hAnsi="Times New Roman"/>
          <w:sz w:val="24"/>
          <w:szCs w:val="24"/>
        </w:rPr>
        <w:t xml:space="preserve">poziomu </w:t>
      </w:r>
      <w:r w:rsidRPr="0011155D">
        <w:rPr>
          <w:rFonts w:ascii="Times New Roman" w:hAnsi="Times New Roman"/>
          <w:sz w:val="24"/>
          <w:szCs w:val="24"/>
        </w:rPr>
        <w:t>jakości</w:t>
      </w:r>
      <w:r w:rsidRPr="0011155D" w:rsidR="2B6F42F8">
        <w:rPr>
          <w:rFonts w:ascii="Times New Roman" w:hAnsi="Times New Roman"/>
          <w:sz w:val="24"/>
          <w:szCs w:val="24"/>
        </w:rPr>
        <w:t xml:space="preserve"> kształcenia</w:t>
      </w:r>
      <w:r w:rsidRPr="0011155D">
        <w:rPr>
          <w:rFonts w:ascii="Times New Roman" w:hAnsi="Times New Roman"/>
          <w:sz w:val="24"/>
          <w:szCs w:val="24"/>
        </w:rPr>
        <w:t xml:space="preserve">. </w:t>
      </w:r>
      <w:r w:rsidRPr="0011155D" w:rsidR="44B49733">
        <w:rPr>
          <w:rFonts w:ascii="Times New Roman" w:hAnsi="Times New Roman" w:eastAsiaTheme="minorEastAsia"/>
          <w:sz w:val="24"/>
          <w:szCs w:val="24"/>
        </w:rPr>
        <w:t>W programie Kongresu znalazły się panele z udziałem ekspertów Polskiej Komisji Akredytacyjnej, panele o akredytacjach międzynarodowych, sesje o</w:t>
      </w:r>
      <w:r w:rsidR="0029792E">
        <w:rPr>
          <w:rFonts w:ascii="Times New Roman" w:hAnsi="Times New Roman" w:eastAsiaTheme="minorEastAsia"/>
          <w:sz w:val="24"/>
          <w:szCs w:val="24"/>
        </w:rPr>
        <w:t> </w:t>
      </w:r>
      <w:r w:rsidRPr="0011155D" w:rsidR="44B49733">
        <w:rPr>
          <w:rFonts w:ascii="Times New Roman" w:hAnsi="Times New Roman" w:eastAsiaTheme="minorEastAsia"/>
          <w:sz w:val="24"/>
          <w:szCs w:val="24"/>
        </w:rPr>
        <w:t>innowacyjnych narzędziach w nowoczesnej dydaktyce, symulacje medyczne oraz panele o</w:t>
      </w:r>
      <w:r w:rsidR="0029792E">
        <w:rPr>
          <w:rFonts w:ascii="Times New Roman" w:hAnsi="Times New Roman" w:eastAsiaTheme="minorEastAsia"/>
          <w:sz w:val="24"/>
          <w:szCs w:val="24"/>
        </w:rPr>
        <w:t> </w:t>
      </w:r>
      <w:r w:rsidRPr="0011155D" w:rsidR="44B49733">
        <w:rPr>
          <w:rFonts w:ascii="Times New Roman" w:hAnsi="Times New Roman" w:eastAsiaTheme="minorEastAsia"/>
          <w:sz w:val="24"/>
          <w:szCs w:val="24"/>
        </w:rPr>
        <w:t>dostępności cyfrowej, różnorodności i projektowaniu uniwersalnym.</w:t>
      </w:r>
      <w:r w:rsidRPr="0011155D" w:rsidR="482C4BC4">
        <w:rPr>
          <w:rFonts w:ascii="Times New Roman" w:hAnsi="Times New Roman" w:eastAsiaTheme="minorEastAsia"/>
          <w:sz w:val="24"/>
          <w:szCs w:val="24"/>
        </w:rPr>
        <w:t xml:space="preserve"> </w:t>
      </w:r>
      <w:r w:rsidRPr="0011155D" w:rsidR="44B49733">
        <w:rPr>
          <w:rFonts w:ascii="Times New Roman" w:hAnsi="Times New Roman" w:eastAsiaTheme="minorEastAsia"/>
          <w:sz w:val="24"/>
          <w:szCs w:val="24"/>
        </w:rPr>
        <w:t>Goście Kongresu mieli również możliwość wysłuchania recitalu fortepianowego w sali koncertowej Akademii Muzycznej oraz obejrzenia wystawy i pokazów filmowych przygotowanych przez Akademię Sztuk Pięknych.</w:t>
      </w:r>
      <w:r w:rsidRPr="0011155D" w:rsidR="7F4CDB53">
        <w:rPr>
          <w:rFonts w:ascii="Times New Roman" w:hAnsi="Times New Roman" w:eastAsiaTheme="minorEastAsia"/>
          <w:sz w:val="24"/>
          <w:szCs w:val="24"/>
        </w:rPr>
        <w:t xml:space="preserve"> </w:t>
      </w:r>
    </w:p>
    <w:p w:rsidRPr="0011155D" w:rsidR="009259BE" w:rsidP="0011155D" w:rsidRDefault="454A9F2E" w14:paraId="570FDA6D" w14:textId="76CAE233">
      <w:pPr>
        <w:pStyle w:val="Akapitzlist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55D">
        <w:rPr>
          <w:rFonts w:ascii="Times New Roman" w:hAnsi="Times New Roman"/>
          <w:sz w:val="24"/>
          <w:szCs w:val="24"/>
        </w:rPr>
        <w:t>Wydarzenie m</w:t>
      </w:r>
      <w:r w:rsidRPr="0011155D" w:rsidR="4B083C97">
        <w:rPr>
          <w:rFonts w:ascii="Times New Roman" w:hAnsi="Times New Roman"/>
          <w:sz w:val="24"/>
          <w:szCs w:val="24"/>
        </w:rPr>
        <w:t>i</w:t>
      </w:r>
      <w:r w:rsidRPr="0011155D">
        <w:rPr>
          <w:rFonts w:ascii="Times New Roman" w:hAnsi="Times New Roman"/>
          <w:sz w:val="24"/>
          <w:szCs w:val="24"/>
        </w:rPr>
        <w:t>a</w:t>
      </w:r>
      <w:r w:rsidRPr="0011155D" w:rsidR="06359C32">
        <w:rPr>
          <w:rFonts w:ascii="Times New Roman" w:hAnsi="Times New Roman"/>
          <w:sz w:val="24"/>
          <w:szCs w:val="24"/>
        </w:rPr>
        <w:t>ło</w:t>
      </w:r>
      <w:r w:rsidRPr="0011155D">
        <w:rPr>
          <w:rFonts w:ascii="Times New Roman" w:hAnsi="Times New Roman"/>
          <w:sz w:val="24"/>
          <w:szCs w:val="24"/>
        </w:rPr>
        <w:t xml:space="preserve"> charakter międzynarodowy</w:t>
      </w:r>
      <w:r w:rsidRPr="0011155D" w:rsidR="2B6F42F8">
        <w:rPr>
          <w:rFonts w:ascii="Times New Roman" w:hAnsi="Times New Roman"/>
          <w:sz w:val="24"/>
          <w:szCs w:val="24"/>
        </w:rPr>
        <w:t>, przewidziano</w:t>
      </w:r>
      <w:r w:rsidRPr="0011155D" w:rsidR="432F187D">
        <w:rPr>
          <w:rFonts w:ascii="Times New Roman" w:hAnsi="Times New Roman"/>
          <w:sz w:val="24"/>
          <w:szCs w:val="24"/>
        </w:rPr>
        <w:t xml:space="preserve"> w </w:t>
      </w:r>
      <w:r w:rsidRPr="0011155D" w:rsidR="2B6F42F8">
        <w:rPr>
          <w:rFonts w:ascii="Times New Roman" w:hAnsi="Times New Roman"/>
          <w:sz w:val="24"/>
          <w:szCs w:val="24"/>
        </w:rPr>
        <w:t xml:space="preserve">nim udział przedstawicieli </w:t>
      </w:r>
      <w:r w:rsidRPr="0011155D" w:rsidR="5C95645B">
        <w:rPr>
          <w:rFonts w:ascii="Times New Roman" w:hAnsi="Times New Roman"/>
          <w:sz w:val="24"/>
          <w:szCs w:val="24"/>
        </w:rPr>
        <w:t>sojuszu T4EU, partnerskich uczelni europejskich oraz zaangażowanie członków</w:t>
      </w:r>
      <w:r w:rsidRPr="0011155D" w:rsidR="2B6F42F8">
        <w:rPr>
          <w:rFonts w:ascii="Times New Roman" w:hAnsi="Times New Roman"/>
          <w:sz w:val="24"/>
          <w:szCs w:val="24"/>
        </w:rPr>
        <w:t xml:space="preserve"> </w:t>
      </w:r>
      <w:r w:rsidRPr="0011155D">
        <w:rPr>
          <w:rFonts w:ascii="Times New Roman" w:hAnsi="Times New Roman"/>
          <w:sz w:val="24"/>
          <w:szCs w:val="24"/>
        </w:rPr>
        <w:t>Konsorcjum Akademickiego Katowice – Miasto Nauki</w:t>
      </w:r>
      <w:r w:rsidRPr="0011155D" w:rsidR="7FD26898">
        <w:rPr>
          <w:rFonts w:ascii="Times New Roman" w:hAnsi="Times New Roman"/>
          <w:sz w:val="24"/>
          <w:szCs w:val="24"/>
        </w:rPr>
        <w:t>.</w:t>
      </w:r>
      <w:r w:rsidRPr="0011155D" w:rsidR="6C147F83">
        <w:rPr>
          <w:rFonts w:ascii="Times New Roman" w:hAnsi="Times New Roman"/>
          <w:sz w:val="24"/>
          <w:szCs w:val="24"/>
        </w:rPr>
        <w:t xml:space="preserve"> </w:t>
      </w:r>
      <w:r w:rsidRPr="0011155D" w:rsidR="6CDF0D40">
        <w:rPr>
          <w:rFonts w:ascii="Times New Roman" w:hAnsi="Times New Roman" w:eastAsiaTheme="minorEastAsia"/>
          <w:sz w:val="24"/>
          <w:szCs w:val="24"/>
        </w:rPr>
        <w:t>W Kongresie wzięło udział</w:t>
      </w:r>
      <w:r w:rsidRPr="0011155D" w:rsidR="6CDF0D40">
        <w:rPr>
          <w:rFonts w:ascii="Times New Roman" w:hAnsi="Times New Roman"/>
          <w:sz w:val="24"/>
          <w:szCs w:val="24"/>
        </w:rPr>
        <w:t xml:space="preserve"> </w:t>
      </w:r>
      <w:r w:rsidRPr="0011155D" w:rsidR="6FAB8025">
        <w:rPr>
          <w:rFonts w:ascii="Times New Roman" w:hAnsi="Times New Roman"/>
          <w:sz w:val="24"/>
          <w:szCs w:val="24"/>
        </w:rPr>
        <w:t xml:space="preserve">łącznie </w:t>
      </w:r>
      <w:r w:rsidRPr="0011155D" w:rsidR="6CDF0D40">
        <w:rPr>
          <w:rFonts w:ascii="Times New Roman" w:hAnsi="Times New Roman"/>
          <w:sz w:val="24"/>
          <w:szCs w:val="24"/>
        </w:rPr>
        <w:t>840 uczestników, którzy dokonali 1 485 rejestracji na wydarzenia.</w:t>
      </w:r>
      <w:r w:rsidR="002A3E0E">
        <w:rPr>
          <w:rFonts w:ascii="Times New Roman" w:hAnsi="Times New Roman"/>
          <w:sz w:val="24"/>
          <w:szCs w:val="24"/>
        </w:rPr>
        <w:t xml:space="preserve"> </w:t>
      </w:r>
      <w:r w:rsidRPr="002A3E0E" w:rsidR="002A3E0E">
        <w:rPr>
          <w:rFonts w:ascii="Times New Roman" w:hAnsi="Times New Roman"/>
          <w:sz w:val="24"/>
          <w:szCs w:val="24"/>
        </w:rPr>
        <w:t>Dodatkowo ok. 80% nauczycieli akademickich UŚ uczestniczyło w szkoleniach „Planowanie dydaktyki akademickiej: opis modułu a jego indywidualna aktualizacja w postaci sylabusa” prowadzonych w ramach ICEQ przez dyrektorów kierunków.</w:t>
      </w:r>
    </w:p>
    <w:p w:rsidRPr="00D25DC8" w:rsidR="18723B1F" w:rsidP="0011155D" w:rsidRDefault="18723B1F" w14:paraId="05E6BC60" w14:textId="72A87E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7245" w:rsidRDefault="00517245" w14:paraId="57D74519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Pr="0011155D" w:rsidR="003A33BC" w:rsidP="0011155D" w:rsidRDefault="008E24AE" w14:paraId="13A460EB" w14:textId="6A1F8FA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55D">
        <w:rPr>
          <w:rFonts w:ascii="Times New Roman" w:hAnsi="Times New Roman"/>
          <w:b/>
          <w:bCs/>
          <w:sz w:val="24"/>
          <w:szCs w:val="24"/>
        </w:rPr>
        <w:lastRenderedPageBreak/>
        <w:t xml:space="preserve">AKREDYTACJE </w:t>
      </w:r>
      <w:r w:rsidRPr="0011155D" w:rsidR="009259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Pr="0011155D" w:rsidR="00290B6F" w:rsidP="0011155D" w:rsidRDefault="00290B6F" w14:paraId="4ACC1C4D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1155D" w:rsidR="00702795" w:rsidP="4F062333" w:rsidRDefault="21E653C2" w14:paraId="6E62304E" w14:textId="1539E073">
      <w:pPr>
        <w:pStyle w:val="Normalny"/>
        <w:spacing w:before="0" w:beforeAutospacing="off" w:after="0" w:afterAutospacing="off" w:line="360" w:lineRule="auto"/>
        <w:ind w:left="0" w:right="0" w:firstLine="709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21E653C2">
        <w:rPr>
          <w:rFonts w:ascii="Times New Roman" w:hAnsi="Times New Roman" w:eastAsia="Arial" w:cs="Times New Roman" w:eastAsiaTheme="majorEastAsia"/>
          <w:sz w:val="24"/>
          <w:szCs w:val="24"/>
        </w:rPr>
        <w:t>W roku akademickim 2022/2023 Polska Komisja Akredytacyjna (dalej PKA) przeprowadziła ocenę programową siedmiu kierunków prowadzonych na czterech wydziałach Uniwersytetu Śląskiego: administracja (WPiA), geografia, ochrona środowiska, turystyka (WNP), grafika (WSNE) oraz praca socjalna i socjologia (WNS). W stosunku do wszystkich ocenionych kierunków Polska Komisja Akredytacyjna wydała ocenę pozytywną, a akredytacja przyznana została na 6 lat (z wyjątkiem kierunku turystyka, w przypadku którego akredytacja przyznana została na 2 lata). </w:t>
      </w:r>
      <w:r w:rsidRPr="4F062333" w:rsidR="285F179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Dwa kierunki studiów – ochrona środowiska z Wydziału Nauk Przyrodniczych i socjologia z Wydziału Nauk Społecznych zostały wyróżnione</w:t>
      </w:r>
      <w:r w:rsidRPr="4F062333" w:rsidR="7E9BC6E8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przez PKA</w:t>
      </w:r>
      <w:r w:rsidRPr="4F062333" w:rsidR="285F179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4F062333" w:rsidR="285F179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Certyfikatami Doskonałości Kształcenia</w:t>
      </w:r>
      <w:r w:rsidRPr="4F062333" w:rsidR="285F179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 kategorii </w:t>
      </w:r>
      <w:r w:rsidRPr="4F062333" w:rsidR="285F179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Doskonały kierunek − doskonałość w kształceniu na kierunku</w:t>
      </w:r>
      <w:r w:rsidRPr="4F062333" w:rsidR="285F179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  <w:r w:rsidRPr="4F062333" w:rsidR="285F1795">
        <w:rPr>
          <w:rFonts w:ascii="Times New Roman" w:hAnsi="Times New Roman" w:eastAsia="Arial" w:cs="Times New Roman" w:eastAsiaTheme="majorEastAsia"/>
          <w:sz w:val="24"/>
          <w:szCs w:val="24"/>
        </w:rPr>
        <w:t xml:space="preserve"> </w:t>
      </w: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Wydziały UŚ, które prowadzą kierunki wyróżnione certyfikatem, według PKA wdrażają skuteczne, innowacyjne oraz godne naśladowania rozwiązania sprzyjające jakości kształcenia, charakteryzujące się w szczególności:</w:t>
      </w:r>
    </w:p>
    <w:p w:rsidRPr="0011155D" w:rsidR="00702795" w:rsidP="4F062333" w:rsidRDefault="21E653C2" w14:paraId="089280EA" w14:textId="1A5CD343">
      <w:pPr>
        <w:pStyle w:val="Akapitzlist"/>
        <w:numPr>
          <w:ilvl w:val="0"/>
          <w:numId w:val="69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skutecznością, czyli zdolnością osiągania celów w sferze doskonalenia jakości kształcenia,</w:t>
      </w:r>
    </w:p>
    <w:p w:rsidRPr="0011155D" w:rsidR="00702795" w:rsidP="4F062333" w:rsidRDefault="21E653C2" w14:paraId="1098A140" w14:textId="465BF66E">
      <w:pPr>
        <w:pStyle w:val="Akapitzlist"/>
        <w:numPr>
          <w:ilvl w:val="0"/>
          <w:numId w:val="69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uniwersalnością, czyli możliwością przenoszenia do innych uczelni,</w:t>
      </w:r>
    </w:p>
    <w:p w:rsidRPr="0011155D" w:rsidR="00702795" w:rsidP="4F062333" w:rsidRDefault="21E653C2" w14:paraId="25F23C05" w14:textId="7FFE1A11">
      <w:pPr>
        <w:pStyle w:val="Akapitzlist"/>
        <w:numPr>
          <w:ilvl w:val="0"/>
          <w:numId w:val="69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innowacyjnością, czyli nowatorskim charakterem w sferze doskonalenia jakości kształcenia,</w:t>
      </w:r>
    </w:p>
    <w:p w:rsidRPr="0011155D" w:rsidR="00702795" w:rsidP="4F062333" w:rsidRDefault="21E653C2" w14:paraId="32EB4214" w14:textId="47865EFE">
      <w:pPr>
        <w:pStyle w:val="Akapitzlist"/>
        <w:numPr>
          <w:ilvl w:val="0"/>
          <w:numId w:val="69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wzorcowością, czyli możliwością bycia punktem odniesienia,</w:t>
      </w:r>
    </w:p>
    <w:p w:rsidRPr="0011155D" w:rsidR="00702795" w:rsidP="4F062333" w:rsidRDefault="21E653C2" w14:paraId="72B97679" w14:textId="2B71145B">
      <w:pPr>
        <w:pStyle w:val="Akapitzlist"/>
        <w:numPr>
          <w:ilvl w:val="0"/>
          <w:numId w:val="69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etycznością, czyli zgodnością z normami i wartościami etycznymi oraz zasadami odpowiedzialności społecznej,</w:t>
      </w:r>
    </w:p>
    <w:p w:rsidRPr="0011155D" w:rsidR="00702795" w:rsidP="4F062333" w:rsidRDefault="21E653C2" w14:paraId="1D4A0F21" w14:textId="0B51C3E0">
      <w:pPr>
        <w:pStyle w:val="Akapitzlist"/>
        <w:numPr>
          <w:ilvl w:val="0"/>
          <w:numId w:val="69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trwałością, czyli powtarzalnością i trwałością wpływu na doskonalenie jakości kształcenia.</w:t>
      </w:r>
    </w:p>
    <w:p w:rsidRPr="0011155D" w:rsidR="00702795" w:rsidP="4F062333" w:rsidRDefault="21E653C2" w14:paraId="60270A8F" w14:textId="7CD7C733">
      <w:pPr>
        <w:pStyle w:val="Normalny"/>
        <w:spacing w:before="0" w:beforeAutospacing="off" w:after="0" w:afterAutospacing="off" w:line="360" w:lineRule="auto"/>
        <w:ind w:left="0" w:right="0" w:firstLine="0"/>
        <w:jc w:val="both"/>
        <w:rPr/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 xml:space="preserve">Wniosek o wyróżnienie kierunku certyfikatem w kategorii </w:t>
      </w:r>
      <w:r w:rsidRPr="4F062333" w:rsidR="4664A879">
        <w:rPr>
          <w:rFonts w:ascii="Times New Roman" w:hAnsi="Times New Roman" w:eastAsia="Arial" w:cs="Times New Roman" w:eastAsiaTheme="majorEastAsia"/>
          <w:i w:val="1"/>
          <w:iCs w:val="1"/>
          <w:sz w:val="24"/>
          <w:szCs w:val="24"/>
        </w:rPr>
        <w:t>Doskonały kierunek − doskonałość w kształceniu na kierunku</w:t>
      </w: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 xml:space="preserve"> uwarunkowany jest wyszczególnieniem w raporcie z wizytacji dobrych praktyk odnoszących się do aż sześciu z dziesięciu kryteriów branych pod uwagę w ocenie programowej PKA:</w:t>
      </w:r>
    </w:p>
    <w:p w:rsidRPr="0011155D" w:rsidR="00702795" w:rsidP="4F062333" w:rsidRDefault="21E653C2" w14:paraId="2BD0DC4C" w14:textId="1923AFBC">
      <w:pPr>
        <w:pStyle w:val="Akapitzlist"/>
        <w:numPr>
          <w:ilvl w:val="0"/>
          <w:numId w:val="71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konstrukcja programu studiów: koncepcja, cele kształcenia i efekty uczenia się,</w:t>
      </w:r>
    </w:p>
    <w:p w:rsidRPr="0011155D" w:rsidR="00702795" w:rsidP="4F062333" w:rsidRDefault="21E653C2" w14:paraId="04A49452" w14:textId="7818E1F4">
      <w:pPr>
        <w:pStyle w:val="Akapitzlist"/>
        <w:numPr>
          <w:ilvl w:val="0"/>
          <w:numId w:val="71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realizacja programu studiów: treści programowe, harmonogram realizacji programu studiów oraz formy i organizacja zajęć, metody kształcenia, praktyki zawodowe, organizacja procesu nauczania i uczenia się,</w:t>
      </w:r>
    </w:p>
    <w:p w:rsidRPr="0011155D" w:rsidR="00702795" w:rsidP="4F062333" w:rsidRDefault="21E653C2" w14:paraId="0FF9513E" w14:textId="5EB89D03">
      <w:pPr>
        <w:pStyle w:val="Akapitzlist"/>
        <w:numPr>
          <w:ilvl w:val="0"/>
          <w:numId w:val="71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przyjęcie na studia, weryfikacja osiągnięcia przez studentów efektów uczenia się, zaliczanie poszczególnych semestrów i lat oraz dyplomowanie,</w:t>
      </w:r>
    </w:p>
    <w:p w:rsidRPr="0011155D" w:rsidR="00702795" w:rsidP="4F062333" w:rsidRDefault="21E653C2" w14:paraId="61C362BC" w14:textId="149E0AE6">
      <w:pPr>
        <w:pStyle w:val="Akapitzlist"/>
        <w:numPr>
          <w:ilvl w:val="0"/>
          <w:numId w:val="71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kompetencje, doświadczenie, kwalifikacje i liczebność kadry prowadzącej kształcenie, a także rozwój i doskonalenie kadry,</w:t>
      </w:r>
    </w:p>
    <w:p w:rsidRPr="0011155D" w:rsidR="00702795" w:rsidP="4F062333" w:rsidRDefault="21E653C2" w14:paraId="06041833" w14:textId="5A8286A3">
      <w:pPr>
        <w:pStyle w:val="Akapitzlist"/>
        <w:numPr>
          <w:ilvl w:val="0"/>
          <w:numId w:val="71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infrastruktura i zasoby edukacyjne wykorzystywane w realizacji programu studiów oraz ich doskonalenie,</w:t>
      </w:r>
    </w:p>
    <w:p w:rsidRPr="0011155D" w:rsidR="00702795" w:rsidP="4F062333" w:rsidRDefault="21E653C2" w14:paraId="7DF81413" w14:textId="08DEC4C0">
      <w:pPr>
        <w:pStyle w:val="Akapitzlist"/>
        <w:numPr>
          <w:ilvl w:val="0"/>
          <w:numId w:val="71"/>
        </w:numPr>
        <w:spacing w:before="0" w:beforeAutospacing="off" w:after="0" w:afterAutospacing="off" w:line="360" w:lineRule="auto"/>
        <w:ind w:right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4664A879">
        <w:rPr>
          <w:rFonts w:ascii="Times New Roman" w:hAnsi="Times New Roman" w:eastAsia="Arial" w:cs="Times New Roman" w:eastAsiaTheme="majorEastAsia"/>
          <w:sz w:val="24"/>
          <w:szCs w:val="24"/>
        </w:rPr>
        <w:t>polityka jakości, projektowanie, zatwierdzanie, monitorowanie, przegląd i doskonalenie programu studiów.</w:t>
      </w:r>
    </w:p>
    <w:p w:rsidRPr="0011155D" w:rsidR="00702795" w:rsidP="4F062333" w:rsidRDefault="21E653C2" w14:paraId="58B79337" w14:textId="6C4740B7">
      <w:pPr>
        <w:pStyle w:val="Normalny"/>
        <w:spacing w:before="0" w:beforeAutospacing="off" w:after="0" w:afterAutospacing="off" w:line="360" w:lineRule="auto"/>
        <w:ind w:left="0" w:right="0" w:firstLine="0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7510323D">
        <w:rPr>
          <w:rFonts w:ascii="Times New Roman" w:hAnsi="Times New Roman" w:eastAsia="Arial" w:cs="Times New Roman" w:eastAsiaTheme="majorEastAsia"/>
          <w:sz w:val="24"/>
          <w:szCs w:val="24"/>
        </w:rPr>
        <w:t xml:space="preserve">Jest to pierwszy raz, gdy kierunki studiów z Uniwersytetu, zostały wyróżnione certyfikatami </w:t>
      </w:r>
      <w:r w:rsidRPr="4F062333" w:rsidR="58999754">
        <w:rPr>
          <w:rFonts w:ascii="Times New Roman" w:hAnsi="Times New Roman" w:eastAsia="Arial" w:cs="Times New Roman" w:eastAsiaTheme="majorEastAsia"/>
          <w:sz w:val="24"/>
          <w:szCs w:val="24"/>
        </w:rPr>
        <w:t>doskonałości</w:t>
      </w:r>
      <w:r w:rsidRPr="4F062333" w:rsidR="7510323D">
        <w:rPr>
          <w:rFonts w:ascii="Times New Roman" w:hAnsi="Times New Roman" w:eastAsia="Arial" w:cs="Times New Roman" w:eastAsiaTheme="majorEastAsia"/>
          <w:sz w:val="24"/>
          <w:szCs w:val="24"/>
        </w:rPr>
        <w:t xml:space="preserve"> przez PKA.</w:t>
      </w:r>
    </w:p>
    <w:p w:rsidRPr="0011155D" w:rsidR="00702795" w:rsidP="4F062333" w:rsidRDefault="21E653C2" w14:paraId="6852ED7D" w14:textId="405FF658">
      <w:pPr>
        <w:spacing w:after="0" w:line="360" w:lineRule="auto"/>
        <w:ind w:firstLine="709"/>
        <w:jc w:val="both"/>
        <w:rPr>
          <w:rFonts w:ascii="Times New Roman" w:hAnsi="Times New Roman" w:eastAsia="Arial" w:cs="Times New Roman" w:eastAsiaTheme="majorEastAsia"/>
          <w:sz w:val="24"/>
          <w:szCs w:val="24"/>
        </w:rPr>
      </w:pPr>
      <w:r w:rsidRPr="4F062333" w:rsidR="21E653C2">
        <w:rPr>
          <w:rFonts w:ascii="Times New Roman" w:hAnsi="Times New Roman" w:eastAsia="Arial" w:cs="Times New Roman" w:eastAsiaTheme="majorEastAsia"/>
          <w:sz w:val="24"/>
          <w:szCs w:val="24"/>
        </w:rPr>
        <w:t>Wszystkie wizyty zespołów oceniających PKA miały formę zdalną - wyjątkiem był kierunek grafika (WSNE), którego władze uznały, że specyfika kierunku i związany z nią aspekt wizualny bez wątpienia zostanie lepiej dostrzeżony i</w:t>
      </w:r>
      <w:r w:rsidRPr="4F062333" w:rsidR="0029792E">
        <w:rPr>
          <w:rFonts w:ascii="Times New Roman" w:hAnsi="Times New Roman" w:eastAsia="Arial" w:cs="Times New Roman" w:eastAsiaTheme="majorEastAsia"/>
          <w:sz w:val="24"/>
          <w:szCs w:val="24"/>
        </w:rPr>
        <w:t> </w:t>
      </w:r>
      <w:r w:rsidRPr="4F062333" w:rsidR="21E653C2">
        <w:rPr>
          <w:rFonts w:ascii="Times New Roman" w:hAnsi="Times New Roman" w:eastAsia="Arial" w:cs="Times New Roman" w:eastAsiaTheme="majorEastAsia"/>
          <w:sz w:val="24"/>
          <w:szCs w:val="24"/>
        </w:rPr>
        <w:t>właściwie oceniony w czasie realnej wizyty stacjonarnej.</w:t>
      </w:r>
    </w:p>
    <w:p w:rsidRPr="0011155D" w:rsidR="00702795" w:rsidP="0011155D" w:rsidRDefault="21E653C2" w14:paraId="6D5480E1" w14:textId="2B22F335">
      <w:pPr>
        <w:spacing w:after="0" w:line="360" w:lineRule="auto"/>
        <w:ind w:firstLine="709"/>
        <w:jc w:val="both"/>
        <w:rPr>
          <w:rFonts w:ascii="Times New Roman" w:hAnsi="Times New Roman" w:cs="Times New Roman" w:eastAsiaTheme="majorEastAsia"/>
          <w:sz w:val="24"/>
          <w:szCs w:val="24"/>
        </w:rPr>
      </w:pPr>
      <w:r w:rsidRPr="0011155D">
        <w:rPr>
          <w:rFonts w:ascii="Times New Roman" w:hAnsi="Times New Roman" w:cs="Times New Roman" w:eastAsiaTheme="majorEastAsia"/>
          <w:sz w:val="24"/>
          <w:szCs w:val="24"/>
        </w:rPr>
        <w:t>Wśród dostrzeżonych przez ekspertów PKA zagadnień wymagających poprawy znalazł się tzw. wskaźnik BUNA i konieczność zapewnienia odpowiedniego wymiaru godzin z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udziałem nauczycieli akademickich i studentów. Należy jednak pamiętać, że oceniane programy zawierały obliczanie tego wskaźnika na podstawie poprzednich regulacji, zgodnie z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którymi sposób liczenia tzw. </w:t>
      </w:r>
      <w:proofErr w:type="spellStart"/>
      <w:r w:rsidRPr="0011155D">
        <w:rPr>
          <w:rFonts w:ascii="Times New Roman" w:hAnsi="Times New Roman" w:cs="Times New Roman" w:eastAsiaTheme="majorEastAsia"/>
          <w:sz w:val="24"/>
          <w:szCs w:val="24"/>
        </w:rPr>
        <w:t>BUNy</w:t>
      </w:r>
      <w:proofErr w:type="spellEnd"/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 zdecydowanie różnił się od obecnie obowiązującego. Ponieważ zespoły oceniające PKA od pewnego czasu zgłaszały nam potrzebę zmiany tej regulacji, uczyniliśmy to wprowadzając nowe wytyczne dotyczące wymagań w zakresie tworzenia i zmiany programów studiów, które zawarte zostały w uchwale nr 385 Senatu Uniwersytetu Śląskiego w Katowicach z dnia 23 maja 2023 r. w sprawie wytycznych dotyczących wymagań w zakresie tworzenia i zmiany programów studiów prowadzonych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Uniwersytecie Śląskim w Katowicach (zwanej dalej uchwałą Senatu UŚ nr 385/2023).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każdym nowym albo zmodyfikowanym programie studiów od roku 2023/2024 ustalamy tzw. </w:t>
      </w:r>
      <w:proofErr w:type="spellStart"/>
      <w:r w:rsidRPr="0011155D">
        <w:rPr>
          <w:rFonts w:ascii="Times New Roman" w:hAnsi="Times New Roman" w:cs="Times New Roman" w:eastAsiaTheme="majorEastAsia"/>
          <w:sz w:val="24"/>
          <w:szCs w:val="24"/>
        </w:rPr>
        <w:t>BUNę</w:t>
      </w:r>
      <w:proofErr w:type="spellEnd"/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 w sposób ekspercki dla każdych zajęć.</w:t>
      </w:r>
    </w:p>
    <w:p w:rsidRPr="0011155D" w:rsidR="00702795" w:rsidP="0011155D" w:rsidRDefault="21E653C2" w14:paraId="6CE40139" w14:textId="1A72D112">
      <w:pPr>
        <w:spacing w:after="0" w:line="360" w:lineRule="auto"/>
        <w:ind w:firstLine="709"/>
        <w:jc w:val="both"/>
        <w:rPr>
          <w:rFonts w:ascii="Times New Roman" w:hAnsi="Times New Roman" w:cs="Times New Roman" w:eastAsiaTheme="majorEastAsia"/>
          <w:sz w:val="24"/>
          <w:szCs w:val="24"/>
        </w:rPr>
      </w:pPr>
      <w:r w:rsidRPr="0011155D">
        <w:rPr>
          <w:rFonts w:ascii="Times New Roman" w:hAnsi="Times New Roman" w:cs="Times New Roman" w:eastAsiaTheme="majorEastAsia"/>
          <w:sz w:val="24"/>
          <w:szCs w:val="24"/>
        </w:rPr>
        <w:t>W pojedynczych przypadkach eksperci zwrócili uwagę na nieprawidłowo oszacowany nakład pracy własnej studenta wyrażony w punktach ECTS, który w takim kształcie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konkretnych przypadkach nie zapewniał osiągnięcia przez studentów ogólnych i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szczegółowych efektów uczenia się. W odpowiedzi na to, jak również w związku z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wdrażaniem nowej koncepcji studiów, został opracowany katalog aktywności studenckich, realizowanych poza zajęciami ujętymi w planie studiów, a wymagających bezpośredniego 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lastRenderedPageBreak/>
        <w:t>udziału nauczyciela akademickiego lub innej osoby prowadzącej zajęcia i jest on dostępny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systemie USOS dla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wszystkich nauczycieli akademickich prowadzących zajęcia. Przykładowo praca studenta poza udziałem w zajęciach, zgodnie ze słownikiem do opisu BUN-y, obejmuje m.in.: konsultowanie materiałów uzupełniających, uzgadnianie dodatkowych do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wskazanych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sylabusie materiałów, służących realizacji zadań wynikających z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uczestnictwa w zajęciach lub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na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potrzeby przygotowania się do nich; weryfikacja/dostosowanie/dyskutowanie zapisów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sylabusie – konsultowanie treści sylabusa z potencjalną weryfikacją zapisów wymagających spełnienia specjalnych warunków uczestnictwa w zajęciach, np. wymagań technicznych, czasowych, przestrzennych, innych,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tym warunków uczestnictwa w zajęciach poza murami uczelni, zajęć organizowanych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blokach, organizowanych online, itp., ustalanie etapów realizacji zadań przyczyniających się do weryfikacji efektów uczenia się, przygotowanie strategii realizacji zadania uwzględniającej podział treści, czynności i ich zakres, czas realizacji oraz/lub sposób pozyskania niezbędnych do jego wykonania materiałów i narzędzi, studiowanie literatury, konsultowanie wyników weryfikacji efektów uczenia się, poprawa błędów, powtórne zaliczenie materiału,  itp. Ułatwiło to w znaczący sposób adekwatne oszacowanie nakładu pracy własnej studenta. </w:t>
      </w:r>
    </w:p>
    <w:p w:rsidRPr="0011155D" w:rsidR="00702795" w:rsidP="0011155D" w:rsidRDefault="21E653C2" w14:paraId="2267A1DE" w14:textId="1BF794AF">
      <w:pPr>
        <w:spacing w:after="0" w:line="360" w:lineRule="auto"/>
        <w:ind w:firstLine="709"/>
        <w:jc w:val="both"/>
        <w:rPr>
          <w:rFonts w:ascii="Times New Roman" w:hAnsi="Times New Roman" w:cs="Times New Roman" w:eastAsiaTheme="majorEastAsia"/>
          <w:sz w:val="24"/>
          <w:szCs w:val="24"/>
        </w:rPr>
      </w:pPr>
      <w:r w:rsidRPr="0011155D">
        <w:rPr>
          <w:rFonts w:ascii="Times New Roman" w:hAnsi="Times New Roman" w:cs="Times New Roman" w:eastAsiaTheme="majorEastAsia"/>
          <w:sz w:val="24"/>
          <w:szCs w:val="24"/>
        </w:rPr>
        <w:t>Badając dobór metod kształcenia pod kątem ich różnorodności, sekwencyjności i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zwiększania stopnia zaangażowania studentów w proces kształcenia oraz związek tych metod z efektami uczenia się w zakresie wiedzy, umiejętności i kompetencji, eksperci wskazywali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odniesieniu do wybranych zajęć na skromny katalog stosowanych metod, a także nieprawidłowy opis metod dydaktycznych nieodzwierciedlający realizowanej praktyki dydaktycznej. Aby ułatwić dokonywanie opisów modułów tak, by w każdym przypadku możliwie najpełniej zapewniać zróżnicowanie metod dydaktycznych prowadzących do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osiągnięcia wszystkich założonych dla modułu i kierunku efektów uczenia się,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szczególności w odniesieniu do umiejętności i kompetencji, został opracowany katalog metod w dydaktyce akademickiej wraz z ich opisem. Katalog ten obejmuje zbiór metod asymilacji wiedzy/podających, zbiór metod problemowych, zbiór metod eksponujących, zbiór metod programowych, zbiór metod praktycznych oraz metody samodzielnego uczenia się i jest dostępny w systemie USOS. </w:t>
      </w:r>
    </w:p>
    <w:p w:rsidRPr="0011155D" w:rsidR="00702795" w:rsidP="0011155D" w:rsidRDefault="51B7E06F" w14:paraId="11BBDA7A" w14:textId="29020991">
      <w:pPr>
        <w:spacing w:after="0" w:line="360" w:lineRule="auto"/>
        <w:ind w:firstLine="709"/>
        <w:jc w:val="both"/>
        <w:rPr>
          <w:rFonts w:ascii="Times New Roman" w:hAnsi="Times New Roman" w:cs="Times New Roman" w:eastAsiaTheme="majorEastAsia"/>
          <w:sz w:val="24"/>
          <w:szCs w:val="24"/>
        </w:rPr>
      </w:pP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Elementem wymagającym korekt, a podnoszonym przez ekspertów PKA wizytujących wybrane kierunki studiów, była konieczność dokonania edytorskich poprawek, uzupełnień, 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lastRenderedPageBreak/>
        <w:t>uporządkowania i doprecyzowania wybranych kwestii oraz wyraźniejszego ich wyeksponowania w taki sposób, by odzwierciedlały stan faktyczny</w:t>
      </w:r>
      <w:r w:rsidRPr="0011155D" w:rsidR="15ACEFB4">
        <w:rPr>
          <w:rFonts w:ascii="Times New Roman" w:hAnsi="Times New Roman" w:cs="Times New Roman" w:eastAsiaTheme="majorEastAsia"/>
          <w:sz w:val="24"/>
          <w:szCs w:val="24"/>
        </w:rPr>
        <w:t xml:space="preserve"> w przytłaczającej liczbie przypadków</w:t>
      </w:r>
      <w:r w:rsidRPr="0011155D">
        <w:rPr>
          <w:rFonts w:ascii="Times New Roman" w:hAnsi="Times New Roman" w:cs="Times New Roman" w:eastAsiaTheme="majorEastAsia"/>
          <w:i/>
          <w:iCs/>
          <w:sz w:val="24"/>
          <w:szCs w:val="24"/>
        </w:rPr>
        <w:t xml:space="preserve"> de facto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 spełniający narzucone wymogi. Dotyczyło to przede wszystkim zmiany albo doprecyzowania brzmienia wybranych efektów uczenia się (np. efektu uczenia się określającego znajomość języka obcego w stopniu zaawansowanym - brzmienie tego efektu obowiązujące w UŚ zostało ujęte w załączniku nr 1do uchwały Senatu UŚ nr 385/2023), skorygowania liczby przypisanych punktów ECTS, większego wyeksponowania tzw. zajęć do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wyboru w wymiarze nie mniejszym niż 30% liczby punktów ECTS, koniecznej do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ukończenia studiów na danym poziomie, bądź zapewnienia korelacji informacji zawartych w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informatorze ECTS dostępnym w domenie publicznej oraz kartach przedmiotu dostępnych po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zalogowaniu się do systemu, a także innych dokumentach dotyczących programu studiów, warunkach jego realizacji oraz osiągniętych rezultatach. Wybrane kierunki studiów przeprowadziły wewnętrzne audyty w tym obszarze i podjęto stosowne kroki w celu osiągnięcia pełnej zgodności we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wszystkich kanałach prezentowania treści odnoszących się do danego kierunku studiów. Na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wybranych kierunkach, na których dostrzeżono niespójność, zostało wprowadzone regularne weryfikowanie tej zgodności - jako stały element kontroli jakości kształcenia, aby zapewnić spójność informacji w dostępie publicznym z informacjami dostępnymi wewnętrznie.  </w:t>
      </w:r>
    </w:p>
    <w:p w:rsidRPr="0011155D" w:rsidR="00702795" w:rsidP="0011155D" w:rsidRDefault="21E653C2" w14:paraId="6E272571" w14:textId="32A745E6">
      <w:pPr>
        <w:spacing w:after="0" w:line="360" w:lineRule="auto"/>
        <w:ind w:firstLine="709"/>
        <w:jc w:val="both"/>
        <w:rPr>
          <w:rFonts w:ascii="Times New Roman" w:hAnsi="Times New Roman" w:cs="Times New Roman" w:eastAsiaTheme="majorEastAsia"/>
          <w:sz w:val="24"/>
          <w:szCs w:val="24"/>
        </w:rPr>
      </w:pPr>
      <w:r w:rsidRPr="0011155D">
        <w:rPr>
          <w:rFonts w:ascii="Times New Roman" w:hAnsi="Times New Roman" w:cs="Times New Roman" w:eastAsiaTheme="majorEastAsia"/>
          <w:sz w:val="24"/>
          <w:szCs w:val="24"/>
        </w:rPr>
        <w:t>Kolejną kwestią, która zwróciła uwagę ekspertów PKA podczas wizytacji, były praktyki. W wybranych przypadkach postulowano wprowadzenie doskonalszych narzędzi i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metod weryfikacji efektów uczenia się umożliwiających skuteczne sprawdzenie i ocenę stopnia osiągnięcia każdego z założonych dla praktyk efektów uczenia się (a nie tylko globalnie), określenia zakresu kompetencji, które student powinien osiągnąć podczas praktyk zawodowych w powiązaniu z przyszłą działalnością zawodową właściwą dla specjalności, sprofilowania praktyk zawodowych, wprowadzenia skuteczniejszego narzędzia monitorowania jakości praktyk zawodowych, a także kompetencji i doświadczenia oraz kwalifikacji opiekunów praktyk w zakładach pracy (tak, aby zapewniali osiągnięcie przez studentów zakładanych efektów uczenia się  - zwłaszcza w obszarze aktualizacji wiedzy), a także wprowadzenia hospitacji praktyk pedagogicznych przez opiekuna praktyk. </w:t>
      </w:r>
    </w:p>
    <w:p w:rsidRPr="0011155D" w:rsidR="00702795" w:rsidP="0011155D" w:rsidRDefault="21E653C2" w14:paraId="6AC21CD3" w14:textId="108E2473">
      <w:pPr>
        <w:spacing w:after="0" w:line="360" w:lineRule="auto"/>
        <w:ind w:firstLine="709"/>
        <w:jc w:val="both"/>
        <w:rPr>
          <w:rFonts w:ascii="Times New Roman" w:hAnsi="Times New Roman" w:cs="Times New Roman" w:eastAsiaTheme="majorEastAsia"/>
          <w:sz w:val="24"/>
          <w:szCs w:val="24"/>
        </w:rPr>
      </w:pPr>
      <w:r w:rsidRPr="0011155D">
        <w:rPr>
          <w:rFonts w:ascii="Times New Roman" w:hAnsi="Times New Roman" w:cs="Times New Roman" w:eastAsiaTheme="majorEastAsia"/>
          <w:sz w:val="24"/>
          <w:szCs w:val="24"/>
        </w:rPr>
        <w:t xml:space="preserve">Zespół PKA wizytujący kierunek grafika rekomendował  przywrócenie czteroletniego okresu oceny okresowej nauczycieli akademickich - ze względu na specyfikę rozwoju 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lastRenderedPageBreak/>
        <w:t>naukowego nauczycieli akademickich przypisanych do dyscypliny sztuk plastycznych i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konserwacja dzieł sztuki (konieczność wykazania aktywności w środowisku zawodowym i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artystycznym związana z gromadzeniem dorobku artystycznego w zakresie realizacji wystaw na arenie krajowej i międzynarodowej, publikacji dotyczących sztuk plastycznych, prowadzenia warsztatów, udziału w jury konkursów, pełnienia funkcji kuratora), dwuletni okres oceny został uznany za zbyt krótki i wręcz restrykcyjny. Rekomendacja ta po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przeprowadzeniu konsultacji spotkała się z aprobatą społeczności akademickiej - Senat Uniwersytetu Śląskiego w Katowicach na posiedzeniu w dniu 25 kwietnia 2023 r. w uchwale nr 381 w sprawie zmiany zasad oceny okresowej nauczycieli akademickich opowiedział się za</w:t>
      </w:r>
      <w:r w:rsidR="0029792E">
        <w:rPr>
          <w:rFonts w:ascii="Times New Roman" w:hAnsi="Times New Roman" w:cs="Times New Roman" w:eastAsiaTheme="majorEastAsia"/>
          <w:sz w:val="24"/>
          <w:szCs w:val="24"/>
        </w:rPr>
        <w:t> </w:t>
      </w:r>
      <w:r w:rsidRPr="0011155D">
        <w:rPr>
          <w:rFonts w:ascii="Times New Roman" w:hAnsi="Times New Roman" w:cs="Times New Roman" w:eastAsiaTheme="majorEastAsia"/>
          <w:sz w:val="24"/>
          <w:szCs w:val="24"/>
        </w:rPr>
        <w:t>zastąpieniem oceny dwuletniej proponowaną oceną czteroletnią.</w:t>
      </w:r>
    </w:p>
    <w:p w:rsidRPr="0011155D" w:rsidR="46B23DC4" w:rsidP="0011155D" w:rsidRDefault="46B23DC4" w14:paraId="43552E95" w14:textId="3D3D01F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:rsidRPr="0011155D" w:rsidR="00702795" w:rsidP="0011155D" w:rsidRDefault="21E653C2" w14:paraId="3EA35640" w14:textId="0FE371E1"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11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Tab.1.</w:t>
      </w:r>
      <w:r w:rsidRPr="00111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Pr="0011155D" w:rsidR="00702795" w:rsidP="0011155D" w:rsidRDefault="00702795" w14:paraId="3B7C1838" w14:textId="70B2DD78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2820"/>
        <w:gridCol w:w="3360"/>
        <w:gridCol w:w="3015"/>
      </w:tblGrid>
      <w:tr w:rsidRPr="0011155D" w:rsidR="2C9D4715" w:rsidTr="46B23DC4" w14:paraId="07F8976F" w14:textId="77777777">
        <w:trPr>
          <w:trHeight w:val="405"/>
        </w:trPr>
        <w:tc>
          <w:tcPr>
            <w:tcW w:w="973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4D5DC3D3" w14:textId="1E19ADA8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  <w:p w:rsidRPr="0011155D" w:rsidR="2C9D4715" w:rsidP="0011155D" w:rsidRDefault="700F8D24" w14:paraId="766426BA" w14:textId="13329EE5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AKREDYTACJE 2022/2023  </w:t>
            </w:r>
          </w:p>
          <w:p w:rsidRPr="0011155D" w:rsidR="2C9D4715" w:rsidP="0011155D" w:rsidRDefault="700F8D24" w14:paraId="00DDB9E1" w14:textId="2CE52830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Pr="0011155D" w:rsidR="2C9D4715" w:rsidTr="46B23DC4" w14:paraId="63BC79A5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6EADE333" w14:textId="5EFD8C09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I.  </w:t>
            </w:r>
          </w:p>
        </w:tc>
        <w:tc>
          <w:tcPr>
            <w:tcW w:w="919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3D67D2A9" w14:textId="5CF15A87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Wydział Prawa i Administracji</w:t>
            </w: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Pr="0011155D" w:rsidR="2C9D4715" w:rsidTr="46B23DC4" w14:paraId="2CB64C92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39AF4176" w14:textId="328BCC55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5729DE78" w14:textId="610B35F8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administracja  </w:t>
            </w:r>
          </w:p>
          <w:p w:rsidRPr="0011155D" w:rsidR="2C9D4715" w:rsidP="0011155D" w:rsidRDefault="700F8D24" w14:paraId="73EF333E" w14:textId="3407366B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2AE416D7" w14:textId="1C8087EC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uchwała Prezydium PKA nr 245/2023 z dnia 20 kwietnia 2023 akredytacja przyznana na 6 lat  </w:t>
            </w:r>
          </w:p>
        </w:tc>
        <w:tc>
          <w:tcPr>
            <w:tcW w:w="3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7919C28C" w14:textId="38148850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kolejna akredytacja powinna nastąpić w roku akademickim 2028/2029  </w:t>
            </w:r>
          </w:p>
          <w:p w:rsidRPr="0011155D" w:rsidR="2C9D4715" w:rsidP="0011155D" w:rsidRDefault="700F8D24" w14:paraId="63529117" w14:textId="158E6C44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11155D" w:rsidR="2C9D4715" w:rsidTr="46B23DC4" w14:paraId="2B20A9C8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6B4C09EA" w14:textId="2AAE9570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II.  </w:t>
            </w:r>
          </w:p>
        </w:tc>
        <w:tc>
          <w:tcPr>
            <w:tcW w:w="919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1CC8D53A" w14:textId="6FDE63BD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Wydział Nauk Przyrodniczych </w:t>
            </w: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Pr="0011155D" w:rsidR="2C9D4715" w:rsidTr="46B23DC4" w14:paraId="5F58FEB1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371D3107" w14:textId="4D84DE87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647251B5" w14:textId="24D712E7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geografia  </w:t>
            </w:r>
          </w:p>
        </w:tc>
        <w:tc>
          <w:tcPr>
            <w:tcW w:w="3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7E603331" w14:textId="054C1CAB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uchwała Prezydium PKA nr 814/2023 z dnia 6 kwietnia 2023 akredytacja przyznana na 6 lat  </w:t>
            </w:r>
          </w:p>
        </w:tc>
        <w:tc>
          <w:tcPr>
            <w:tcW w:w="3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358F8B1E" w14:textId="024D832D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kolejna akredytacja powinna nastąpić w roku akademickim 2028/2029  </w:t>
            </w:r>
          </w:p>
          <w:p w:rsidRPr="0011155D" w:rsidR="2C9D4715" w:rsidP="0011155D" w:rsidRDefault="700F8D24" w14:paraId="36786655" w14:textId="12C10855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11155D" w:rsidR="2C9D4715" w:rsidTr="46B23DC4" w14:paraId="5EE36555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45285FF8" w14:textId="32F1BB5F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2204083D" w14:textId="6825DC75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ochrona środowiska  </w:t>
            </w:r>
          </w:p>
        </w:tc>
        <w:tc>
          <w:tcPr>
            <w:tcW w:w="3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1DFDA930" w14:textId="1192E135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uchwała Prezydium PKA nr 814/2023 z dnia 18 sierpnia 2023 akredytacja przyznana na 6 lat  </w:t>
            </w:r>
          </w:p>
        </w:tc>
        <w:tc>
          <w:tcPr>
            <w:tcW w:w="3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28D2074D" w14:textId="6111590D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kolejna akredytacja powinna nastąpić w roku akademickim 2028/2029  </w:t>
            </w:r>
          </w:p>
          <w:p w:rsidRPr="0011155D" w:rsidR="2C9D4715" w:rsidP="0011155D" w:rsidRDefault="700F8D24" w14:paraId="21D281B9" w14:textId="5448458F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11155D" w:rsidR="2C9D4715" w:rsidTr="46B23DC4" w14:paraId="0F2EEC1E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4DF8225F" w14:textId="17BAFFF0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5CFA5BB3" w14:textId="28FAA652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turystyka  </w:t>
            </w:r>
          </w:p>
        </w:tc>
        <w:tc>
          <w:tcPr>
            <w:tcW w:w="3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145C2E6C" w14:textId="6B86685E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uchwała nr 975/2023 Prezydium PKA z dnia 9 listopada 2023 akredytacja przyznana na 2 lata  </w:t>
            </w:r>
          </w:p>
        </w:tc>
        <w:tc>
          <w:tcPr>
            <w:tcW w:w="3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77C0BB4A" w14:textId="215F9C25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kolejna akredytacja powinna nastąpić w roku akademickim 2025/2026  </w:t>
            </w:r>
          </w:p>
          <w:p w:rsidRPr="0011155D" w:rsidR="2C9D4715" w:rsidP="0011155D" w:rsidRDefault="700F8D24" w14:paraId="6A495D97" w14:textId="5C17ABC6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Pr="0011155D" w:rsidR="2C9D4715" w:rsidTr="46B23DC4" w14:paraId="7C1B885B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66BCA930" w14:textId="0B0F1CB3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lastRenderedPageBreak/>
              <w:t xml:space="preserve">III.  </w:t>
            </w:r>
          </w:p>
        </w:tc>
        <w:tc>
          <w:tcPr>
            <w:tcW w:w="919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226E1B" w:rsidR="2C9D4715" w:rsidP="0011155D" w:rsidRDefault="700F8D24" w14:paraId="4DABC79D" w14:textId="6FF9E434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</w:pPr>
            <w:r w:rsidRPr="00226E1B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 xml:space="preserve">Wydział Sztuki i Nauk o Edukacji  </w:t>
            </w:r>
          </w:p>
        </w:tc>
      </w:tr>
      <w:tr w:rsidRPr="0011155D" w:rsidR="2C9D4715" w:rsidTr="46B23DC4" w14:paraId="106022C7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178CEF47" w14:textId="458076CD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34B6B08E" w14:textId="76012C67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grafika  </w:t>
            </w:r>
          </w:p>
        </w:tc>
        <w:tc>
          <w:tcPr>
            <w:tcW w:w="3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076ED109" w14:textId="73DAABBC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uchwała nr 399/2023 Prezydium PKA z dnia 15 czerwca 2023 akredytacja przyznana na 6 lat  </w:t>
            </w:r>
          </w:p>
        </w:tc>
        <w:tc>
          <w:tcPr>
            <w:tcW w:w="3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45FE5B9F" w14:textId="15DDB179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kolejna akredytacja powinna nastąpić w roku akademickim 2028/2029  </w:t>
            </w:r>
          </w:p>
          <w:p w:rsidRPr="0011155D" w:rsidR="2C9D4715" w:rsidP="0011155D" w:rsidRDefault="700F8D24" w14:paraId="6D534B9A" w14:textId="7761596B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Pr="0011155D" w:rsidR="2C9D4715" w:rsidTr="46B23DC4" w14:paraId="71F0673B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677CAE16" w14:textId="2E2C7466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IV.  </w:t>
            </w:r>
          </w:p>
        </w:tc>
        <w:tc>
          <w:tcPr>
            <w:tcW w:w="919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536CDDC1" w14:textId="0F107A4B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Wydział Nauk Społecznych</w:t>
            </w: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Pr="0011155D" w:rsidR="2C9D4715" w:rsidTr="46B23DC4" w14:paraId="748DF72A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20EDA8B3" w14:textId="1B43D131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7978A047" w14:textId="533ABB3D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praca socjalna   </w:t>
            </w:r>
          </w:p>
        </w:tc>
        <w:tc>
          <w:tcPr>
            <w:tcW w:w="3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4A79A97A" w14:textId="195461D4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uchwała nr 848/2023 Prezydium PKA z dnia 18 września 2023 akredytacja przyznana na 6 lat   </w:t>
            </w:r>
          </w:p>
        </w:tc>
        <w:tc>
          <w:tcPr>
            <w:tcW w:w="3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03F6592C" w14:textId="73A7BB76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kolejna akredytacja powinna nastąpić w roku akademickim 2028/2029  </w:t>
            </w:r>
          </w:p>
        </w:tc>
      </w:tr>
      <w:tr w:rsidRPr="0011155D" w:rsidR="2C9D4715" w:rsidTr="46B23DC4" w14:paraId="3864797A" w14:textId="77777777">
        <w:trPr>
          <w:trHeight w:val="405"/>
        </w:trPr>
        <w:tc>
          <w:tcPr>
            <w:tcW w:w="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0EAD891A" w14:textId="4A12D3C2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3D556EFC" w14:textId="140CE3B6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socjologia   </w:t>
            </w:r>
          </w:p>
        </w:tc>
        <w:tc>
          <w:tcPr>
            <w:tcW w:w="3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49F941B0" w14:textId="3AF97C61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uchwała nr 741/2023 Prezydium PKA z dnia 7 września 2023 akredytacja przyznana na 6 lat  </w:t>
            </w:r>
          </w:p>
        </w:tc>
        <w:tc>
          <w:tcPr>
            <w:tcW w:w="30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11155D" w:rsidR="2C9D4715" w:rsidP="0011155D" w:rsidRDefault="700F8D24" w14:paraId="135FDAE0" w14:textId="0F8D5D99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kolejna akredytacja powinna nastąpić w roku akademickim 2028/2029  </w:t>
            </w:r>
          </w:p>
          <w:p w:rsidRPr="0011155D" w:rsidR="2C9D4715" w:rsidP="0011155D" w:rsidRDefault="700F8D24" w14:paraId="435190AD" w14:textId="25B79CC3"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Pr="0011155D" w:rsidR="00702795" w:rsidP="0011155D" w:rsidRDefault="00702795" w14:paraId="15E558A8" w14:textId="3E34D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1155D" w:rsidR="46B23DC4" w:rsidP="0011155D" w:rsidRDefault="46B23DC4" w14:paraId="7486F5E7" w14:textId="1C3E8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45" w:rsidRDefault="00517245" w14:paraId="7E930B25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Pr="0011155D" w:rsidR="00121974" w:rsidP="0011155D" w:rsidRDefault="00A43B95" w14:paraId="6A2248FD" w14:textId="384307E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55D">
        <w:rPr>
          <w:rFonts w:ascii="Times New Roman" w:hAnsi="Times New Roman"/>
          <w:b/>
          <w:bCs/>
          <w:sz w:val="24"/>
          <w:szCs w:val="24"/>
        </w:rPr>
        <w:lastRenderedPageBreak/>
        <w:t>MECHANIZMY ZAPEWNIENIA WYS</w:t>
      </w:r>
      <w:r w:rsidRPr="0011155D" w:rsidR="00E93D24">
        <w:rPr>
          <w:rFonts w:ascii="Times New Roman" w:hAnsi="Times New Roman"/>
          <w:b/>
          <w:bCs/>
          <w:sz w:val="24"/>
          <w:szCs w:val="24"/>
        </w:rPr>
        <w:t>OKIEJ JAKOŚCI KSZTAŁCENIA</w:t>
      </w:r>
      <w:r w:rsidRPr="0011155D" w:rsidR="008F4C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155D" w:rsidR="009B1D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Pr="0011155D" w:rsidR="00290B6F" w:rsidP="0011155D" w:rsidRDefault="00290B6F" w14:paraId="0C058501" w14:textId="777777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11155D" w:rsidR="00991E01" w:rsidP="0011155D" w:rsidRDefault="00991E01" w14:paraId="0D10DD81" w14:textId="5ACD1E98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name="_Hlk129359828" w:id="1"/>
      <w:r w:rsidRPr="0011155D">
        <w:rPr>
          <w:rFonts w:ascii="Times New Roman" w:hAnsi="Times New Roman"/>
          <w:b/>
          <w:bCs/>
          <w:color w:val="000000" w:themeColor="text1"/>
          <w:sz w:val="24"/>
          <w:szCs w:val="24"/>
        </w:rPr>
        <w:t>Spotkania dyrekcji</w:t>
      </w:r>
      <w:r w:rsidRPr="0011155D" w:rsidR="00EB4E7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z </w:t>
      </w:r>
      <w:r w:rsidRPr="0011155D">
        <w:rPr>
          <w:rFonts w:ascii="Times New Roman" w:hAnsi="Times New Roman"/>
          <w:b/>
          <w:bCs/>
          <w:color w:val="000000" w:themeColor="text1"/>
          <w:sz w:val="24"/>
          <w:szCs w:val="24"/>
        </w:rPr>
        <w:t>interesariuszami wewnętrznymi</w:t>
      </w:r>
      <w:r w:rsidRPr="0011155D" w:rsidR="00EB4E7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 </w:t>
      </w:r>
      <w:r w:rsidRPr="0011155D">
        <w:rPr>
          <w:rFonts w:ascii="Times New Roman" w:hAnsi="Times New Roman"/>
          <w:b/>
          <w:bCs/>
          <w:color w:val="000000" w:themeColor="text1"/>
          <w:sz w:val="24"/>
          <w:szCs w:val="24"/>
        </w:rPr>
        <w:t>zewnętrznymi</w:t>
      </w:r>
    </w:p>
    <w:p w:rsidR="00991E01" w:rsidP="0011155D" w:rsidRDefault="517A8158" w14:paraId="5B0E45A6" w14:textId="2C195475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 w:rsidRPr="0011155D">
        <w:rPr>
          <w:rFonts w:ascii="Times New Roman" w:hAnsi="Times New Roman" w:eastAsia="Times New Roman"/>
          <w:sz w:val="24"/>
          <w:szCs w:val="24"/>
        </w:rPr>
        <w:t>Jednym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z </w:t>
      </w:r>
      <w:r w:rsidRPr="0011155D">
        <w:rPr>
          <w:rFonts w:ascii="Times New Roman" w:hAnsi="Times New Roman" w:eastAsia="Times New Roman"/>
          <w:sz w:val="24"/>
          <w:szCs w:val="24"/>
        </w:rPr>
        <w:t>wysoko ocenianych kryteriów podczas wizytacji ekspertów PKA na</w:t>
      </w:r>
      <w:r w:rsidR="0029792E">
        <w:rPr>
          <w:rFonts w:ascii="Times New Roman" w:hAnsi="Times New Roman" w:eastAsia="Times New Roman"/>
          <w:sz w:val="24"/>
          <w:szCs w:val="24"/>
        </w:rPr>
        <w:t> </w:t>
      </w:r>
      <w:r w:rsidRPr="0011155D">
        <w:rPr>
          <w:rFonts w:ascii="Times New Roman" w:hAnsi="Times New Roman" w:eastAsia="Times New Roman"/>
          <w:sz w:val="24"/>
          <w:szCs w:val="24"/>
        </w:rPr>
        <w:t>kierunkach jest poziom współpracy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z </w:t>
      </w:r>
      <w:r w:rsidRPr="0011155D">
        <w:rPr>
          <w:rFonts w:ascii="Times New Roman" w:hAnsi="Times New Roman" w:eastAsia="Times New Roman"/>
          <w:sz w:val="24"/>
          <w:szCs w:val="24"/>
        </w:rPr>
        <w:t>otoczeniem społecznym Uniwersytetu oraz</w:t>
      </w:r>
      <w:r w:rsidR="0029792E">
        <w:rPr>
          <w:rFonts w:ascii="Times New Roman" w:hAnsi="Times New Roman" w:eastAsia="Times New Roman"/>
          <w:sz w:val="24"/>
          <w:szCs w:val="24"/>
        </w:rPr>
        <w:t> </w:t>
      </w:r>
      <w:r w:rsidRPr="0011155D">
        <w:rPr>
          <w:rFonts w:ascii="Times New Roman" w:hAnsi="Times New Roman" w:eastAsia="Times New Roman"/>
          <w:sz w:val="24"/>
          <w:szCs w:val="24"/>
        </w:rPr>
        <w:t>specyficznymi dla kierunków grupami interesariuszy. Większość</w:t>
      </w:r>
      <w:r w:rsidRPr="0011155D" w:rsidR="17DDB3BE">
        <w:rPr>
          <w:rFonts w:ascii="Times New Roman" w:hAnsi="Times New Roman" w:eastAsia="Times New Roman"/>
          <w:sz w:val="24"/>
          <w:szCs w:val="24"/>
        </w:rPr>
        <w:t xml:space="preserve"> </w:t>
      </w:r>
      <w:r w:rsidRPr="0011155D">
        <w:rPr>
          <w:rFonts w:ascii="Times New Roman" w:hAnsi="Times New Roman" w:eastAsia="Times New Roman"/>
          <w:sz w:val="24"/>
          <w:szCs w:val="24"/>
        </w:rPr>
        <w:t>kierunków,</w:t>
      </w:r>
      <w:r w:rsidRPr="0011155D" w:rsidR="245EF1DD">
        <w:rPr>
          <w:rFonts w:ascii="Times New Roman" w:hAnsi="Times New Roman" w:eastAsia="Times New Roman"/>
          <w:sz w:val="24"/>
          <w:szCs w:val="24"/>
        </w:rPr>
        <w:t xml:space="preserve"> </w:t>
      </w:r>
      <w:r w:rsidRPr="0011155D">
        <w:rPr>
          <w:rFonts w:ascii="Times New Roman" w:hAnsi="Times New Roman" w:eastAsia="Times New Roman"/>
          <w:sz w:val="24"/>
          <w:szCs w:val="24"/>
        </w:rPr>
        <w:t>lub</w:t>
      </w:r>
      <w:r w:rsidR="0029792E">
        <w:rPr>
          <w:rFonts w:ascii="Times New Roman" w:hAnsi="Times New Roman" w:eastAsia="Times New Roman"/>
          <w:sz w:val="24"/>
          <w:szCs w:val="24"/>
        </w:rPr>
        <w:t> </w:t>
      </w:r>
      <w:r w:rsidRPr="0011155D">
        <w:rPr>
          <w:rFonts w:ascii="Times New Roman" w:hAnsi="Times New Roman" w:eastAsia="Times New Roman"/>
          <w:sz w:val="24"/>
          <w:szCs w:val="24"/>
        </w:rPr>
        <w:t>Wydziałów, zorganizowała tę współprace na wzorcowym poziomie. Działają rady kierunków, rady biznesowe, zespoły interesariuszy przy Radach dydaktycznych. Nie jest to jednak sytuacja dotycząca wszystkich kierunków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/>
          <w:sz w:val="24"/>
          <w:szCs w:val="24"/>
        </w:rPr>
        <w:t>jednakowym stopniu, sytuacja ta będzie monitorowana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i </w:t>
      </w:r>
      <w:r w:rsidRPr="0011155D">
        <w:rPr>
          <w:rFonts w:ascii="Times New Roman" w:hAnsi="Times New Roman" w:eastAsia="Times New Roman"/>
          <w:sz w:val="24"/>
          <w:szCs w:val="24"/>
        </w:rPr>
        <w:t>weryfikowana na bieżąco. Tam gdzie uruchomiono wcześniej współpracę, procedura spotkań dyrekcji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z </w:t>
      </w:r>
      <w:r w:rsidRPr="0011155D">
        <w:rPr>
          <w:rFonts w:ascii="Times New Roman" w:hAnsi="Times New Roman" w:eastAsia="Times New Roman"/>
          <w:sz w:val="24"/>
          <w:szCs w:val="24"/>
        </w:rPr>
        <w:t>interesarius</w:t>
      </w:r>
      <w:r w:rsidRPr="0011155D" w:rsidR="0FDB60DD">
        <w:rPr>
          <w:rFonts w:ascii="Times New Roman" w:hAnsi="Times New Roman" w:eastAsia="Times New Roman"/>
          <w:sz w:val="24"/>
          <w:szCs w:val="24"/>
        </w:rPr>
        <w:t>zami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w </w:t>
      </w:r>
      <w:r w:rsidRPr="0011155D" w:rsidR="0FDB60DD">
        <w:rPr>
          <w:rFonts w:ascii="Times New Roman" w:hAnsi="Times New Roman" w:eastAsia="Times New Roman"/>
          <w:sz w:val="24"/>
          <w:szCs w:val="24"/>
        </w:rPr>
        <w:t>roku 202</w:t>
      </w:r>
      <w:r w:rsidRPr="0011155D" w:rsidR="42A57851">
        <w:rPr>
          <w:rFonts w:ascii="Times New Roman" w:hAnsi="Times New Roman" w:eastAsia="Times New Roman"/>
          <w:sz w:val="24"/>
          <w:szCs w:val="24"/>
        </w:rPr>
        <w:t>2</w:t>
      </w:r>
      <w:r w:rsidRPr="0011155D" w:rsidR="0FDB60DD">
        <w:rPr>
          <w:rFonts w:ascii="Times New Roman" w:hAnsi="Times New Roman" w:eastAsia="Times New Roman"/>
          <w:sz w:val="24"/>
          <w:szCs w:val="24"/>
        </w:rPr>
        <w:t>/20</w:t>
      </w:r>
      <w:r w:rsidRPr="0011155D">
        <w:rPr>
          <w:rFonts w:ascii="Times New Roman" w:hAnsi="Times New Roman" w:eastAsia="Times New Roman"/>
          <w:sz w:val="24"/>
          <w:szCs w:val="24"/>
        </w:rPr>
        <w:t>2</w:t>
      </w:r>
      <w:r w:rsidRPr="0011155D" w:rsidR="4626BFA2">
        <w:rPr>
          <w:rFonts w:ascii="Times New Roman" w:hAnsi="Times New Roman" w:eastAsia="Times New Roman"/>
          <w:sz w:val="24"/>
          <w:szCs w:val="24"/>
        </w:rPr>
        <w:t>3</w:t>
      </w:r>
      <w:r w:rsidRPr="0011155D">
        <w:rPr>
          <w:rFonts w:ascii="Times New Roman" w:hAnsi="Times New Roman" w:eastAsia="Times New Roman"/>
          <w:sz w:val="24"/>
          <w:szCs w:val="24"/>
        </w:rPr>
        <w:t xml:space="preserve"> przebiegała zgodnie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z </w:t>
      </w:r>
      <w:r w:rsidRPr="0011155D">
        <w:rPr>
          <w:rFonts w:ascii="Times New Roman" w:hAnsi="Times New Roman" w:eastAsia="Times New Roman"/>
          <w:sz w:val="24"/>
          <w:szCs w:val="24"/>
        </w:rPr>
        <w:t>zaleceniami Wewnętrznych Systemów Zapewniania Jakości Kształcenia. Współpraca ta obejmowała działania inicjujące współprace lub służące podtrzymywaniu kontaktów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z </w:t>
      </w:r>
      <w:r w:rsidRPr="0011155D">
        <w:rPr>
          <w:rFonts w:ascii="Times New Roman" w:hAnsi="Times New Roman" w:eastAsia="Times New Roman"/>
          <w:sz w:val="24"/>
          <w:szCs w:val="24"/>
        </w:rPr>
        <w:t>podmiotami gospodarczymi, społecznymi, środowiskami biznesu, sztuki, nauki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i </w:t>
      </w:r>
      <w:r w:rsidRPr="0011155D">
        <w:rPr>
          <w:rFonts w:ascii="Times New Roman" w:hAnsi="Times New Roman" w:eastAsia="Times New Roman"/>
          <w:sz w:val="24"/>
          <w:szCs w:val="24"/>
        </w:rPr>
        <w:t>religii.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/>
          <w:sz w:val="24"/>
          <w:szCs w:val="24"/>
        </w:rPr>
        <w:t>głównym zakresie przedmiotem konsultacji były nowotworzone lub modernizowane programy kształcenia lub zagadnienia wynikające</w:t>
      </w:r>
      <w:r w:rsidRPr="0011155D" w:rsidR="432F187D">
        <w:rPr>
          <w:rFonts w:ascii="Times New Roman" w:hAnsi="Times New Roman" w:eastAsia="Times New Roman"/>
          <w:sz w:val="24"/>
          <w:szCs w:val="24"/>
        </w:rPr>
        <w:t xml:space="preserve"> z </w:t>
      </w:r>
      <w:r w:rsidRPr="0011155D">
        <w:rPr>
          <w:rFonts w:ascii="Times New Roman" w:hAnsi="Times New Roman" w:eastAsia="Times New Roman"/>
          <w:sz w:val="24"/>
          <w:szCs w:val="24"/>
        </w:rPr>
        <w:t xml:space="preserve">organizacji   praktyk zawodowych. </w:t>
      </w:r>
    </w:p>
    <w:p w:rsidRPr="0011155D" w:rsidR="0011155D" w:rsidP="0011155D" w:rsidRDefault="0011155D" w14:paraId="09F615FF" w14:textId="77777777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</w:p>
    <w:p w:rsidRPr="0011155D" w:rsidR="0039575B" w:rsidP="0011155D" w:rsidRDefault="0039575B" w14:paraId="1978F627" w14:textId="02D6E216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55D">
        <w:rPr>
          <w:rFonts w:ascii="Times New Roman" w:hAnsi="Times New Roman"/>
          <w:b/>
          <w:bCs/>
          <w:sz w:val="24"/>
          <w:szCs w:val="24"/>
        </w:rPr>
        <w:t xml:space="preserve">Ankietyzacja </w:t>
      </w:r>
    </w:p>
    <w:p w:rsidRPr="0011155D" w:rsidR="0039575B" w:rsidP="0011155D" w:rsidRDefault="4D6A19F9" w14:paraId="5087FB53" w14:textId="234A60C0"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  <w:highlight w:val="green"/>
        </w:rPr>
      </w:pPr>
      <w:r w:rsidRPr="0011155D">
        <w:rPr>
          <w:rFonts w:ascii="Times New Roman" w:hAnsi="Times New Roman" w:eastAsia="Times New Roman" w:cs="Times New Roman"/>
          <w:sz w:val="24"/>
          <w:szCs w:val="24"/>
        </w:rPr>
        <w:t>Procedurę badań ankietowych odnoszących się do oceny działalności dydaktycznej osób prowadzących zajęcia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Uniwersytecie przeprowadzono na </w:t>
      </w:r>
      <w:r w:rsidRPr="0011155D">
        <w:rPr>
          <w:rFonts w:ascii="Times New Roman" w:hAnsi="Times New Roman" w:eastAsia="Times New Roman" w:cs="Times New Roman"/>
          <w:i/>
          <w:iCs/>
          <w:sz w:val="24"/>
          <w:szCs w:val="24"/>
        </w:rPr>
        <w:t>podstawie Zarządzenia nr</w:t>
      </w:r>
      <w:r w:rsidR="0029792E">
        <w:rPr>
          <w:rFonts w:ascii="Times New Roman" w:hAnsi="Times New Roman" w:eastAsia="Times New Roman" w:cs="Times New Roman"/>
          <w:i/>
          <w:iCs/>
          <w:sz w:val="24"/>
          <w:szCs w:val="24"/>
        </w:rPr>
        <w:t> </w:t>
      </w:r>
      <w:r w:rsidRPr="0011155D">
        <w:rPr>
          <w:rFonts w:ascii="Times New Roman" w:hAnsi="Times New Roman" w:eastAsia="Times New Roman" w:cs="Times New Roman"/>
          <w:i/>
          <w:iCs/>
          <w:sz w:val="24"/>
          <w:szCs w:val="24"/>
        </w:rPr>
        <w:t>37/2020</w:t>
      </w:r>
      <w:r w:rsidRPr="0011155D" w:rsidR="432F187D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z </w:t>
      </w:r>
      <w:r w:rsidRPr="0011155D">
        <w:rPr>
          <w:rFonts w:ascii="Times New Roman" w:hAnsi="Times New Roman" w:eastAsia="Times New Roman" w:cs="Times New Roman"/>
          <w:i/>
          <w:iCs/>
          <w:sz w:val="24"/>
          <w:szCs w:val="24"/>
        </w:rPr>
        <w:t>dnia 19-03-2020 Rektora UŚ</w:t>
      </w:r>
      <w:r w:rsidRPr="0011155D" w:rsidR="432F187D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i/>
          <w:iCs/>
          <w:sz w:val="24"/>
          <w:szCs w:val="24"/>
        </w:rPr>
        <w:t>sprawie ankiety oceny pracy dydaktycznej nauczyciela akademickiego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. Studenci dokonywali anonimowej oceny korzystając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z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elektronicznych kwestionariuszy dostępnych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portalu USOSweb  za pośrednictwem różnych narzędzi informatyczno-komunikacyjnych. Zaoferowanie szerokiego dostępu do</w:t>
      </w:r>
      <w:r w:rsidR="0029792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kwestionariuszy miało zapewnić możliwość wywiązania się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z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tego zadania możliwie najliczniejszej grupie studentów. Podsumowując proces ankietyzacji można potwierdzić tendencję wzrostową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tym obszarze aktywności studenckiej. Rośnie zarówno liczba wypełnionych ankiet jak ilość zajęć, które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wystarczającym zakresie zostały ocenione przez grupy studentów kierunku (szczegółowe dane ilościowe zaprezentowano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tab.2.). Wyniki ankiet (w tym pisemne komentarze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i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uwagi udzielane przez studentów), podobnie jak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ubiegłych latach, zostały udostępnione osobom prowadzącym zajęcia oraz ich przełożonym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lastRenderedPageBreak/>
        <w:t>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Portalu Pracownika (</w:t>
      </w:r>
      <w:hyperlink r:id="rId16">
        <w:r w:rsidRPr="0011155D">
          <w:rPr>
            <w:rStyle w:val="Hipercze"/>
            <w:rFonts w:ascii="Times New Roman" w:hAnsi="Times New Roman" w:eastAsia="Times New Roman" w:cs="Times New Roman"/>
            <w:sz w:val="24"/>
            <w:szCs w:val="24"/>
          </w:rPr>
          <w:t>https://pp.us.edu.pl/</w:t>
        </w:r>
      </w:hyperlink>
      <w:r w:rsidRPr="0011155D">
        <w:rPr>
          <w:rFonts w:ascii="Times New Roman" w:hAnsi="Times New Roman" w:eastAsia="Times New Roman" w:cs="Times New Roman"/>
          <w:sz w:val="24"/>
          <w:szCs w:val="24"/>
        </w:rPr>
        <w:t>). Widoczność wyników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Portalu, zarówno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semestrze zimowym jak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i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letnim, została włączona dopiero po zakończonej sesji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i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sesji poprawkowej. Również nauczyciele akademiccy mieli możliwość dodania własnego komentarza do prowadzonych przez siebie zajęć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i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wyrażenia opinii dotyczącej pracy studentów</w:t>
      </w:r>
      <w:r w:rsidRPr="0011155D" w:rsidR="432F187D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trakcie realizacji modułu. Odsetek tych wypowiedzi plasuje się jednak na niższym, niż</w:t>
      </w:r>
      <w:r w:rsidR="0029792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studenckie oceny, poziomie.   </w:t>
      </w:r>
    </w:p>
    <w:p w:rsidRPr="0011155D" w:rsidR="00C958C6" w:rsidP="0011155D" w:rsidRDefault="00C958C6" w14:paraId="67F1C859" w14:textId="77777777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eastAsia="Times New Roman"/>
          <w:sz w:val="24"/>
          <w:szCs w:val="24"/>
        </w:rPr>
      </w:pPr>
    </w:p>
    <w:bookmarkEnd w:id="1"/>
    <w:p w:rsidRPr="0011155D" w:rsidR="00121974" w:rsidP="0011155D" w:rsidRDefault="009B1D2B" w14:paraId="34AF539F" w14:textId="4103B10F">
      <w:pPr>
        <w:keepNext/>
        <w:spacing w:after="0" w:line="36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</w:rPr>
      </w:pPr>
      <w:r w:rsidRPr="0011155D">
        <w:rPr>
          <w:rFonts w:ascii="Times New Roman" w:hAnsi="Times New Roman" w:eastAsia="Times New Roman" w:cs="Times New Roman"/>
          <w:i/>
          <w:iCs/>
          <w:sz w:val="20"/>
          <w:szCs w:val="20"/>
        </w:rPr>
        <w:t>Tab.2</w:t>
      </w:r>
    </w:p>
    <w:tbl>
      <w:tblPr>
        <w:tblW w:w="9734" w:type="dxa"/>
        <w:tblLayout w:type="fixed"/>
        <w:tblLook w:val="06A0" w:firstRow="1" w:lastRow="0" w:firstColumn="1" w:lastColumn="0" w:noHBand="1" w:noVBand="1"/>
      </w:tblPr>
      <w:tblGrid>
        <w:gridCol w:w="1629"/>
        <w:gridCol w:w="1223"/>
        <w:gridCol w:w="615"/>
        <w:gridCol w:w="1669"/>
        <w:gridCol w:w="1089"/>
        <w:gridCol w:w="575"/>
        <w:gridCol w:w="1723"/>
        <w:gridCol w:w="1211"/>
      </w:tblGrid>
      <w:tr w:rsidRPr="0011155D" w:rsidR="0E532980" w:rsidTr="0011155D" w14:paraId="5487A24C" w14:textId="77777777">
        <w:trPr>
          <w:cantSplit/>
          <w:trHeight w:val="585"/>
        </w:trPr>
        <w:tc>
          <w:tcPr>
            <w:tcW w:w="285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8D140EA" w14:textId="63360B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Uszczegółowione wyniki dla</w:t>
            </w:r>
            <w:r w:rsidR="0029792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 </w:t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Uniwersytetu 2022-2023 semestr zimowy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647608C9" w14:textId="7473E6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0698AB20" w14:textId="0881FE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Uszczegółowione wyniki dla</w:t>
            </w:r>
            <w:r w:rsidR="0029792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 </w:t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Uniwersytetu 2022-2023 semestr letni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33CF7531" w14:textId="335EBF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7AC2CE9" w14:textId="4AFA97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Uszczegółowione wyniki dla</w:t>
            </w:r>
            <w:r w:rsidR="0029792E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 </w:t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Uniwersytetu 2022-2023 cały rok akademicki</w:t>
            </w:r>
          </w:p>
        </w:tc>
      </w:tr>
      <w:tr w:rsidRPr="0011155D" w:rsidR="0E532980" w:rsidTr="0011155D" w14:paraId="6E931DEE" w14:textId="77777777">
        <w:trPr>
          <w:cantSplit/>
          <w:trHeight w:val="300"/>
        </w:trPr>
        <w:tc>
          <w:tcPr>
            <w:tcW w:w="2852" w:type="dxa"/>
            <w:gridSpan w:val="2"/>
            <w:vMerge/>
            <w:tcBorders>
              <w:left w:val="single" w:color="auto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1155D" w:rsidR="000F4E90" w:rsidP="0011155D" w:rsidRDefault="000F4E90" w14:paraId="00FEDC52" w14:textId="777777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64553FF5" w14:textId="77CD04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vMerge/>
            <w:tcBorders>
              <w:left w:val="single" w:color="auto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1155D" w:rsidR="000F4E90" w:rsidP="0011155D" w:rsidRDefault="000F4E90" w14:paraId="1782A77B" w14:textId="777777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79CA9D76" w14:textId="7BC02C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left w:val="single" w:color="auto" w:sz="0" w:space="0"/>
              <w:bottom w:val="single" w:color="000000" w:themeColor="text1" w:sz="0" w:space="0"/>
              <w:right w:val="single" w:color="000000" w:themeColor="text1" w:sz="0" w:space="0"/>
            </w:tcBorders>
            <w:vAlign w:val="center"/>
          </w:tcPr>
          <w:p w:rsidRPr="0011155D" w:rsidR="000F4E90" w:rsidP="0011155D" w:rsidRDefault="000F4E90" w14:paraId="0E1F3069" w14:textId="777777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11155D" w:rsidR="0E532980" w:rsidTr="0011155D" w14:paraId="020EBA71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4559FE2" w14:textId="1CDAC7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średnia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196BAD0F" w14:textId="57221F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4,65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3D65B56D" w14:textId="109C91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4DEC32F" w14:textId="1BE6E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średnia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E9BFB85" w14:textId="6C6C46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4,66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20A59CC9" w14:textId="45E56C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009831C9" w14:textId="659ACEE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średnia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E7A6F64" w14:textId="4C17B7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4,66</w:t>
            </w:r>
          </w:p>
        </w:tc>
      </w:tr>
      <w:tr w:rsidRPr="0011155D" w:rsidR="0E532980" w:rsidTr="0011155D" w14:paraId="57542777" w14:textId="77777777">
        <w:trPr>
          <w:cantSplit/>
          <w:trHeight w:val="570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64B34D9" w14:textId="0C0AB0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odchylenie standardowe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A468DE3" w14:textId="4C5EE3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7726DC45" w14:textId="405098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20FA5A9" w14:textId="6BFDF5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odchylenie standardowe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C0E673A" w14:textId="140AF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B5AE8CB" w14:textId="23952C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B1C7060" w14:textId="16CB13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odchylenie standardowe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FCB6179" w14:textId="217D3D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Pr="0011155D" w:rsidR="0E532980" w:rsidTr="0011155D" w14:paraId="2A9F9300" w14:textId="77777777">
        <w:trPr>
          <w:cantSplit/>
          <w:trHeight w:val="300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17682142" w14:textId="253828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mediana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DAFED01" w14:textId="635447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4,82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0A30B014" w14:textId="33BC4A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28CFE36" w14:textId="14EC79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mediana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621D80D" w14:textId="7F270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4,88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2CE9FB3C" w14:textId="4EC657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2A6D1B0A" w14:textId="3D9B3A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mediana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F3F7041" w14:textId="0D314D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4,84</w:t>
            </w:r>
          </w:p>
        </w:tc>
      </w:tr>
      <w:tr w:rsidRPr="0011155D" w:rsidR="0E532980" w:rsidTr="0011155D" w14:paraId="7D757301" w14:textId="77777777">
        <w:trPr>
          <w:cantSplit/>
          <w:trHeight w:val="540"/>
        </w:trPr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50CF5CD1" w14:textId="7E773D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Przedział 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średnich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267788AE" w14:textId="27A161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Liczba 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ocen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11351A91" w14:textId="6A3E6B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21FBE5F4" w14:textId="07F470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Przedział 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średnich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CB3A8BC" w14:textId="57BD35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Liczba 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ocen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2F548299" w14:textId="69CA77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28948E97" w14:textId="546F75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Przedział 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średnich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AF67AFD" w14:textId="7632FE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Liczba 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ocen</w:t>
            </w:r>
          </w:p>
        </w:tc>
      </w:tr>
      <w:tr w:rsidRPr="0011155D" w:rsidR="0E532980" w:rsidTr="0011155D" w14:paraId="6735DC61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27566339" w14:textId="22C373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D36AF21" w14:textId="4206A9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2061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7DBD581C" w14:textId="70DFC9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5DB1C8A3" w14:textId="5C291D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1942F965" w14:textId="709863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2484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F375963" w14:textId="576D91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B3ED4CC" w14:textId="75AF43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0144EA02" w14:textId="42E0AC2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4545</w:t>
            </w:r>
          </w:p>
        </w:tc>
      </w:tr>
      <w:tr w:rsidRPr="0011155D" w:rsidR="0E532980" w:rsidTr="0011155D" w14:paraId="52BFC192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0525A494" w14:textId="3ADAFA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4,8-4,99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6EF0565B" w14:textId="446859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2372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7D5D77B" w14:textId="5B2BD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F19DE6C" w14:textId="6B0AFB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4,8-4,99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053952FC" w14:textId="3A0EC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1938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6B3ADA43" w14:textId="32785F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55AF2181" w14:textId="60B7A6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4,8-4,99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76963147" w14:textId="5E5A17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4310</w:t>
            </w:r>
          </w:p>
        </w:tc>
      </w:tr>
      <w:tr w:rsidRPr="0011155D" w:rsidR="0E532980" w:rsidTr="0011155D" w14:paraId="5F1A82D5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895AC84" w14:textId="33825F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4,5-4,79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1ABA3C1B" w14:textId="6F94E0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2124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57BA6B02" w14:textId="4AE4AC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E8F1AD8" w14:textId="6DF0B7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4,5-4,79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7BC4AB95" w14:textId="62554E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1384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6C2C16DA" w14:textId="73D691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4A433E4" w14:textId="39DB2C9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4,5-4,79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227700DB" w14:textId="1BDED4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3508</w:t>
            </w:r>
          </w:p>
        </w:tc>
      </w:tr>
      <w:tr w:rsidRPr="0011155D" w:rsidR="0E532980" w:rsidTr="0011155D" w14:paraId="4969738A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57EF515C" w14:textId="01AF8E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4-4,49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2EE9523E" w14:textId="6CD7CB1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3CEE59C8" w14:textId="6509B0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D10EAA4" w14:textId="1F1929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4-4,49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80E390B" w14:textId="0CDF88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872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1F95EDCF" w14:textId="2AD2AA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FB607E7" w14:textId="31CCB5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4-4,49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69E1AC0E" w14:textId="212E3D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2112</w:t>
            </w:r>
          </w:p>
        </w:tc>
      </w:tr>
      <w:tr w:rsidRPr="0011155D" w:rsidR="0E532980" w:rsidTr="0011155D" w14:paraId="08D25A3E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600A5A8" w14:textId="494BBC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3,5-3,99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0A345340" w14:textId="743D80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C4E0048" w14:textId="7E102D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1498EE06" w14:textId="2AF959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3,5-3,99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3D889535" w14:textId="17E84F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59E584EA" w14:textId="6077A1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1041D33A" w14:textId="501696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3,5-3,99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A8BDC32" w14:textId="2B990F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676</w:t>
            </w:r>
          </w:p>
        </w:tc>
      </w:tr>
      <w:tr w:rsidRPr="0011155D" w:rsidR="0E532980" w:rsidTr="0011155D" w14:paraId="1B840EB5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AF8C3A3" w14:textId="5EFAF6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3,0-3,49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1144A8A5" w14:textId="709EC0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0AE3B46E" w14:textId="3282BD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797ABEE" w14:textId="6F93CB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3,0-3,49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5D81C8F1" w14:textId="1759C0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64235DC2" w14:textId="2C545C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23F7F600" w14:textId="22D67F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3,0-3,49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1A404BD8" w14:textId="5887E8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332</w:t>
            </w:r>
          </w:p>
        </w:tc>
      </w:tr>
      <w:tr w:rsidRPr="0011155D" w:rsidR="0E532980" w:rsidTr="0011155D" w14:paraId="3E97325C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DB09439" w14:textId="4DA5D5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2-2,99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2A9A2D9A" w14:textId="30C202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107D5948" w14:textId="7AAD51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1B3B4882" w14:textId="1A68CF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2-2,99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00FE3CE2" w14:textId="5417C1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B61C2DD" w14:textId="614C3C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04F7A808" w14:textId="437404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2-2,99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5EDFDED2" w14:textId="5D33EB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204</w:t>
            </w:r>
          </w:p>
        </w:tc>
      </w:tr>
      <w:tr w:rsidRPr="0011155D" w:rsidR="0E532980" w:rsidTr="0011155D" w14:paraId="5DBBBAF1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11C3322" w14:textId="76E4C4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1-1,99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66AB91F9" w14:textId="4296A2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3DEC9A36" w14:textId="6ABCC2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F4E96FC" w14:textId="5CCCAE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1-1,99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5AA826D5" w14:textId="46E8959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71FA6DC" w14:textId="61678F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0DCABC64" w14:textId="503B97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1-1,99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7EAA1B24" w14:textId="4A3D22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Pr="0011155D" w:rsidR="0E532980" w:rsidTr="0011155D" w14:paraId="560F7F6A" w14:textId="77777777">
        <w:trPr>
          <w:cantSplit/>
          <w:trHeight w:val="285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522A828" w14:textId="19E283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Łącznie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28E8CC84" w14:textId="2FCD9E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8464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1863032C" w14:textId="1D55EC6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5C145EEF" w14:textId="676ED6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Łącznie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5F217006" w14:textId="62CDD1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7281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758DBAF0" w14:textId="1EDDF8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5003AC0C" w14:textId="223350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Łącznie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ACF1ABE" w14:textId="6F2179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15745</w:t>
            </w:r>
          </w:p>
        </w:tc>
      </w:tr>
      <w:tr w:rsidRPr="0011155D" w:rsidR="0E532980" w:rsidTr="0011155D" w14:paraId="255C885E" w14:textId="77777777">
        <w:trPr>
          <w:cantSplit/>
          <w:trHeight w:val="570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0C4EFFA" w14:textId="6D0490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Ankietowane zajęcia bez oceny: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E72FFA4" w14:textId="3AFCFA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0E19B42" w14:textId="7D91A5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2E47F0C4" w14:textId="6BBA44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Ankietowane zajęcia bez oceny: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994DB50" w14:textId="4C362E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74DE2B8B" w14:textId="3E003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29A5B2BC" w14:textId="5E3821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Ankietowane zajęcia bez oceny: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2939D17B" w14:textId="46CB7E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Pr="0011155D" w:rsidR="0E532980" w:rsidTr="0011155D" w14:paraId="7DB2341D" w14:textId="77777777">
        <w:trPr>
          <w:cantSplit/>
          <w:trHeight w:val="570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631FA2C" w14:textId="329F98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Łączna liczba kwestionariuszy: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19270697" w14:textId="20D1F1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60030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0B89B34F" w14:textId="7E8CE8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0698E706" w14:textId="28F486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Łączna liczba kwestionariuszy: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06B06281" w14:textId="395ECE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34826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7EF47765" w14:textId="4BD5A6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06C0FF33" w14:textId="1AE1A6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Łączna liczba kwestionariuszy: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41664266" w14:textId="4B936B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94856</w:t>
            </w:r>
          </w:p>
        </w:tc>
      </w:tr>
      <w:tr w:rsidRPr="0011155D" w:rsidR="0E532980" w:rsidTr="0011155D" w14:paraId="4A366E26" w14:textId="77777777">
        <w:trPr>
          <w:cantSplit/>
          <w:trHeight w:val="870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5766468A" w14:textId="17D71A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Średnia liczba kwestionariuszy na zajęcia: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F846583" w14:textId="5866D3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7,07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2B040AA2" w14:textId="633659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3EE50E28" w14:textId="23E548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Średnia liczba kwestionariuszy na zajęcia: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06FAB08A" w14:textId="26760F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4,77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Pr="0011155D" w:rsidR="0E532980" w:rsidP="0011155D" w:rsidRDefault="0E532980" w14:paraId="41C8BA5E" w14:textId="4262E2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741548D0" w14:textId="4ADB19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b/>
                <w:bCs/>
                <w:color w:val="000000" w:themeColor="text1"/>
                <w:sz w:val="20"/>
                <w:szCs w:val="20"/>
              </w:rPr>
              <w:t>Średnia liczba kwestionariuszy na zajęcia: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Pr="0011155D" w:rsidR="0E532980" w:rsidP="0011155D" w:rsidRDefault="0E532980" w14:paraId="6F06FD56" w14:textId="6BD772E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  <w:t>6,01</w:t>
            </w:r>
          </w:p>
        </w:tc>
      </w:tr>
    </w:tbl>
    <w:p w:rsidRPr="0011155D" w:rsidR="0E532980" w:rsidP="0011155D" w:rsidRDefault="0E532980" w14:paraId="6FBDDAD8" w14:textId="40922408">
      <w:pPr>
        <w:spacing w:after="0" w:line="360" w:lineRule="auto"/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</w:p>
    <w:p w:rsidR="00C958C6" w:rsidP="0011155D" w:rsidRDefault="000A10FE" w14:paraId="5BEDD023" w14:textId="00DE5706"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sz w:val="24"/>
          <w:szCs w:val="24"/>
        </w:rPr>
        <w:lastRenderedPageBreak/>
        <w:t>Jak zaprezentowano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i/>
          <w:iCs/>
          <w:sz w:val="24"/>
          <w:szCs w:val="24"/>
        </w:rPr>
        <w:t>Tab.2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.,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semestrze zimowym,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ska</w:t>
      </w:r>
      <w:r w:rsidRPr="0011155D" w:rsidR="00832655">
        <w:rPr>
          <w:rFonts w:ascii="Times New Roman" w:hAnsi="Times New Roman" w:eastAsia="Times New Roman" w:cs="Times New Roman"/>
          <w:sz w:val="24"/>
          <w:szCs w:val="24"/>
        </w:rPr>
        <w:t xml:space="preserve">li uczelni, </w:t>
      </w:r>
      <w:r w:rsidRPr="0011155D" w:rsidR="00D72951">
        <w:rPr>
          <w:rFonts w:ascii="Times New Roman" w:hAnsi="Times New Roman" w:eastAsia="Times New Roman" w:cs="Times New Roman"/>
          <w:sz w:val="24"/>
          <w:szCs w:val="24"/>
        </w:rPr>
        <w:t>ankietyzację przeprowadzono na</w:t>
      </w:r>
      <w:r w:rsidRPr="0011155D" w:rsidR="3AF31BF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1155D" w:rsidR="3C701AA0">
        <w:rPr>
          <w:rFonts w:ascii="Times New Roman" w:hAnsi="Times New Roman" w:eastAsia="Times New Roman" w:cs="Times New Roman"/>
          <w:sz w:val="24"/>
          <w:szCs w:val="24"/>
        </w:rPr>
        <w:t xml:space="preserve">8464 </w:t>
      </w:r>
      <w:r w:rsidRPr="0011155D" w:rsidR="00832655">
        <w:rPr>
          <w:rFonts w:ascii="Times New Roman" w:hAnsi="Times New Roman" w:eastAsia="Times New Roman" w:cs="Times New Roman"/>
          <w:sz w:val="24"/>
          <w:szCs w:val="24"/>
        </w:rPr>
        <w:t>zajęcia</w:t>
      </w:r>
      <w:r w:rsidRPr="0011155D" w:rsidR="00D72951">
        <w:rPr>
          <w:rFonts w:ascii="Times New Roman" w:hAnsi="Times New Roman" w:eastAsia="Times New Roman" w:cs="Times New Roman"/>
          <w:sz w:val="24"/>
          <w:szCs w:val="24"/>
        </w:rPr>
        <w:t>ch</w:t>
      </w:r>
      <w:r w:rsidRPr="0011155D" w:rsidR="00832655">
        <w:rPr>
          <w:rFonts w:ascii="Times New Roman" w:hAnsi="Times New Roman" w:eastAsia="Times New Roman" w:cs="Times New Roman"/>
          <w:sz w:val="24"/>
          <w:szCs w:val="24"/>
        </w:rPr>
        <w:t xml:space="preserve">. Wypełniono </w:t>
      </w:r>
      <w:r w:rsidRPr="0011155D" w:rsidR="3BEBE87E">
        <w:rPr>
          <w:rFonts w:ascii="Times New Roman" w:hAnsi="Times New Roman" w:eastAsia="Times New Roman" w:cs="Times New Roman"/>
          <w:sz w:val="24"/>
          <w:szCs w:val="24"/>
        </w:rPr>
        <w:t xml:space="preserve">60030 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kwe</w:t>
      </w:r>
      <w:r w:rsidRPr="0011155D" w:rsidR="00832655">
        <w:rPr>
          <w:rFonts w:ascii="Times New Roman" w:hAnsi="Times New Roman" w:eastAsia="Times New Roman" w:cs="Times New Roman"/>
          <w:sz w:val="24"/>
          <w:szCs w:val="24"/>
        </w:rPr>
        <w:t xml:space="preserve">stionariuszy, co daje średnio </w:t>
      </w:r>
      <w:r w:rsidRPr="0011155D" w:rsidR="2F5A8CE1">
        <w:rPr>
          <w:rFonts w:ascii="Times New Roman" w:hAnsi="Times New Roman" w:eastAsia="Times New Roman" w:cs="Times New Roman"/>
          <w:sz w:val="24"/>
          <w:szCs w:val="24"/>
        </w:rPr>
        <w:t xml:space="preserve">7,7 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ankiet na zajęcia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 wobec średniej 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o</w:t>
      </w:r>
      <w:r w:rsidRPr="0011155D" w:rsidR="00832655">
        <w:rPr>
          <w:rFonts w:ascii="Times New Roman" w:hAnsi="Times New Roman" w:eastAsia="Times New Roman" w:cs="Times New Roman"/>
          <w:sz w:val="24"/>
          <w:szCs w:val="24"/>
        </w:rPr>
        <w:t>gólnouniwersyteck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iej</w:t>
      </w:r>
      <w:r w:rsidRPr="0011155D" w:rsidR="0083265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równej</w:t>
      </w:r>
      <w:r w:rsidRPr="0011155D" w:rsidR="0083265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1155D" w:rsidR="5C9975E5">
        <w:rPr>
          <w:rFonts w:ascii="Times New Roman" w:hAnsi="Times New Roman" w:eastAsia="Times New Roman" w:cs="Times New Roman"/>
          <w:sz w:val="24"/>
          <w:szCs w:val="24"/>
        </w:rPr>
        <w:t>4,65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1155D" w:rsidR="6A335E54">
        <w:rPr>
          <w:rFonts w:ascii="Times New Roman" w:hAnsi="Times New Roman" w:eastAsia="Times New Roman" w:cs="Times New Roman"/>
          <w:sz w:val="24"/>
          <w:szCs w:val="24"/>
        </w:rPr>
        <w:t>W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semes</w:t>
      </w:r>
      <w:r w:rsidRPr="0011155D" w:rsidR="00832655">
        <w:rPr>
          <w:rFonts w:ascii="Times New Roman" w:hAnsi="Times New Roman" w:eastAsia="Times New Roman" w:cs="Times New Roman"/>
          <w:sz w:val="24"/>
          <w:szCs w:val="24"/>
        </w:rPr>
        <w:t xml:space="preserve">trze letnim </w:t>
      </w:r>
      <w:r w:rsidRPr="0011155D" w:rsidR="00D72951">
        <w:rPr>
          <w:rFonts w:ascii="Times New Roman" w:hAnsi="Times New Roman" w:eastAsia="Times New Roman" w:cs="Times New Roman"/>
          <w:sz w:val="24"/>
          <w:szCs w:val="24"/>
        </w:rPr>
        <w:t>liczba zaję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>ć</w:t>
      </w:r>
      <w:r w:rsidRPr="0011155D" w:rsidR="00D72951">
        <w:rPr>
          <w:rFonts w:ascii="Times New Roman" w:hAnsi="Times New Roman" w:eastAsia="Times New Roman" w:cs="Times New Roman"/>
          <w:sz w:val="24"/>
          <w:szCs w:val="24"/>
        </w:rPr>
        <w:t xml:space="preserve"> podlegających ankietyzacji wyniosła </w:t>
      </w:r>
      <w:r w:rsidRPr="0011155D" w:rsidR="77240C2F">
        <w:rPr>
          <w:rFonts w:ascii="Times New Roman" w:hAnsi="Times New Roman" w:eastAsia="Times New Roman" w:cs="Times New Roman"/>
          <w:sz w:val="24"/>
          <w:szCs w:val="24"/>
        </w:rPr>
        <w:t>7281</w:t>
      </w:r>
      <w:r w:rsidRPr="0011155D" w:rsidR="00D72951">
        <w:rPr>
          <w:rFonts w:ascii="Times New Roman" w:hAnsi="Times New Roman" w:eastAsia="Times New Roman" w:cs="Times New Roman"/>
          <w:sz w:val="24"/>
          <w:szCs w:val="24"/>
        </w:rPr>
        <w:t>.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 xml:space="preserve"> Średnia uzyskana po zliczeniu wartości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z </w:t>
      </w:r>
      <w:r w:rsidRPr="0011155D" w:rsidR="06FD5DC0">
        <w:rPr>
          <w:rFonts w:ascii="Times New Roman" w:hAnsi="Times New Roman" w:eastAsia="Times New Roman" w:cs="Times New Roman"/>
          <w:sz w:val="24"/>
          <w:szCs w:val="24"/>
        </w:rPr>
        <w:t xml:space="preserve">34826 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 xml:space="preserve">kwestionariuszy 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>wyniosła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1155D" w:rsidR="07FE91A6">
        <w:rPr>
          <w:rFonts w:ascii="Times New Roman" w:hAnsi="Times New Roman" w:eastAsia="Times New Roman" w:cs="Times New Roman"/>
          <w:sz w:val="24"/>
          <w:szCs w:val="24"/>
        </w:rPr>
        <w:t>4,77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 xml:space="preserve"> ankiet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>skali jednych</w:t>
      </w:r>
      <w:r w:rsidRPr="0011155D" w:rsidR="005570F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zaję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>ć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. Ogólnouniwersy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>tecka średnia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 xml:space="preserve">tym semestrze porównywalnie 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 xml:space="preserve">wyniosła </w:t>
      </w:r>
      <w:r w:rsidRPr="0011155D" w:rsidR="03D12F1B">
        <w:rPr>
          <w:rFonts w:ascii="Times New Roman" w:hAnsi="Times New Roman" w:eastAsia="Times New Roman" w:cs="Times New Roman"/>
          <w:sz w:val="24"/>
          <w:szCs w:val="24"/>
        </w:rPr>
        <w:t>4,66 (nieznacznie spadła)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11155D" w:rsidR="003D6227">
        <w:rPr>
          <w:rFonts w:ascii="Times New Roman" w:hAnsi="Times New Roman" w:eastAsia="Times New Roman" w:cs="Times New Roman"/>
          <w:b/>
          <w:bCs/>
          <w:sz w:val="24"/>
          <w:szCs w:val="24"/>
        </w:rPr>
        <w:t>Łącznie</w:t>
      </w:r>
      <w:r w:rsidRPr="0011155D" w:rsidR="00EB4E7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w </w:t>
      </w:r>
      <w:r w:rsidRPr="0011155D" w:rsidR="003D6227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skali roku studenci ocenili </w:t>
      </w:r>
      <w:r w:rsidRPr="0011155D" w:rsidR="003B2991">
        <w:rPr>
          <w:rFonts w:ascii="Times New Roman" w:hAnsi="Times New Roman" w:eastAsia="Times New Roman" w:cs="Times New Roman"/>
          <w:b/>
          <w:bCs/>
          <w:sz w:val="24"/>
          <w:szCs w:val="24"/>
        </w:rPr>
        <w:t>realizację</w:t>
      </w:r>
      <w:r w:rsidRPr="0011155D" w:rsidR="3749EB9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>zajęć</w:t>
      </w:r>
      <w:r w:rsidRPr="0011155D" w:rsidR="39076BD9">
        <w:rPr>
          <w:rFonts w:ascii="Times New Roman" w:hAnsi="Times New Roman" w:eastAsia="Times New Roman" w:cs="Times New Roman"/>
          <w:sz w:val="24"/>
          <w:szCs w:val="24"/>
        </w:rPr>
        <w:t xml:space="preserve"> 15745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 xml:space="preserve">, wypełniając </w:t>
      </w:r>
      <w:r w:rsidRPr="0011155D" w:rsidR="224588A9">
        <w:rPr>
          <w:rFonts w:ascii="Times New Roman" w:hAnsi="Times New Roman" w:eastAsia="Times New Roman" w:cs="Times New Roman"/>
          <w:sz w:val="24"/>
          <w:szCs w:val="24"/>
        </w:rPr>
        <w:t xml:space="preserve">94856 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kwestionariu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 xml:space="preserve">szy 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 xml:space="preserve">co daje 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>średnio</w:t>
      </w:r>
      <w:r w:rsidRPr="0011155D" w:rsidR="239AF67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1155D" w:rsidR="7889685A">
        <w:rPr>
          <w:rFonts w:ascii="Times New Roman" w:hAnsi="Times New Roman" w:eastAsia="Times New Roman" w:cs="Times New Roman"/>
          <w:sz w:val="24"/>
          <w:szCs w:val="24"/>
        </w:rPr>
        <w:t xml:space="preserve">6 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 xml:space="preserve">ankiet 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>wypełnionych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>ramach jednych</w:t>
      </w:r>
      <w:r w:rsidRPr="0011155D" w:rsidR="00B60E1D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zaję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>ć</w:t>
      </w:r>
      <w:r w:rsidRPr="0011155D" w:rsidR="003D6227">
        <w:rPr>
          <w:rFonts w:ascii="Times New Roman" w:hAnsi="Times New Roman" w:eastAsia="Times New Roman" w:cs="Times New Roman"/>
          <w:sz w:val="24"/>
          <w:szCs w:val="24"/>
        </w:rPr>
        <w:t>. Średnia o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>gólnouniwersytecka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 xml:space="preserve">skali roku </w:t>
      </w:r>
      <w:r w:rsidRPr="0011155D" w:rsidR="006B3EB6">
        <w:rPr>
          <w:rFonts w:ascii="Times New Roman" w:hAnsi="Times New Roman" w:eastAsia="Times New Roman" w:cs="Times New Roman"/>
          <w:sz w:val="24"/>
          <w:szCs w:val="24"/>
        </w:rPr>
        <w:t xml:space="preserve">wyniosła </w:t>
      </w:r>
      <w:r w:rsidRPr="0011155D" w:rsidR="74B97B13">
        <w:rPr>
          <w:rFonts w:ascii="Times New Roman" w:hAnsi="Times New Roman" w:eastAsia="Times New Roman" w:cs="Times New Roman"/>
          <w:sz w:val="24"/>
          <w:szCs w:val="24"/>
        </w:rPr>
        <w:t>4,66</w:t>
      </w:r>
      <w:r w:rsidRPr="0011155D" w:rsidR="003B2991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11155D" w:rsidR="0011155D" w:rsidP="0011155D" w:rsidRDefault="0011155D" w14:paraId="3254BA4D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1155D" w:rsidR="003D6227" w:rsidP="0011155D" w:rsidRDefault="000A10FE" w14:paraId="7675B3B0" w14:textId="3583A98C">
      <w:pPr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11155D">
        <w:rPr>
          <w:rFonts w:ascii="Times New Roman" w:hAnsi="Times New Roman" w:eastAsia="Times New Roman" w:cs="Times New Roman"/>
          <w:i/>
          <w:iCs/>
          <w:sz w:val="20"/>
          <w:szCs w:val="20"/>
        </w:rPr>
        <w:t>Tab. 3</w:t>
      </w:r>
      <w:r w:rsidRPr="0011155D">
        <w:rPr>
          <w:rFonts w:ascii="Times New Roman" w:hAnsi="Times New Roman" w:eastAsia="Times New Roman" w:cs="Times New Roman"/>
          <w:sz w:val="20"/>
          <w:szCs w:val="20"/>
        </w:rPr>
        <w:t xml:space="preserve">.  </w:t>
      </w:r>
      <w:r w:rsidRPr="0011155D" w:rsidR="003D622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011155D">
        <w:rPr>
          <w:rFonts w:ascii="Times New Roman" w:hAnsi="Times New Roman" w:eastAsia="Times New Roman" w:cs="Times New Roman"/>
          <w:sz w:val="20"/>
          <w:szCs w:val="20"/>
        </w:rPr>
        <w:t>Ś</w:t>
      </w:r>
      <w:r w:rsidRPr="0011155D" w:rsidR="003D6227">
        <w:rPr>
          <w:rFonts w:ascii="Times New Roman" w:hAnsi="Times New Roman" w:eastAsia="Times New Roman" w:cs="Times New Roman"/>
          <w:sz w:val="20"/>
          <w:szCs w:val="20"/>
        </w:rPr>
        <w:t>redni</w:t>
      </w:r>
      <w:r w:rsidRPr="0011155D">
        <w:rPr>
          <w:rFonts w:ascii="Times New Roman" w:hAnsi="Times New Roman" w:eastAsia="Times New Roman" w:cs="Times New Roman"/>
          <w:sz w:val="20"/>
          <w:szCs w:val="20"/>
        </w:rPr>
        <w:t>a</w:t>
      </w:r>
      <w:r w:rsidRPr="0011155D" w:rsidR="003D6227">
        <w:rPr>
          <w:rFonts w:ascii="Times New Roman" w:hAnsi="Times New Roman" w:eastAsia="Times New Roman" w:cs="Times New Roman"/>
          <w:sz w:val="20"/>
          <w:szCs w:val="20"/>
        </w:rPr>
        <w:t xml:space="preserve"> ogólnouniwersyteck</w:t>
      </w:r>
      <w:r w:rsidRPr="0011155D">
        <w:rPr>
          <w:rFonts w:ascii="Times New Roman" w:hAnsi="Times New Roman" w:eastAsia="Times New Roman" w:cs="Times New Roman"/>
          <w:sz w:val="20"/>
          <w:szCs w:val="20"/>
        </w:rPr>
        <w:t>a</w:t>
      </w:r>
      <w:r w:rsidRPr="0011155D" w:rsidR="003D6227">
        <w:rPr>
          <w:rFonts w:ascii="Times New Roman" w:hAnsi="Times New Roman" w:eastAsia="Times New Roman" w:cs="Times New Roman"/>
          <w:sz w:val="20"/>
          <w:szCs w:val="20"/>
        </w:rPr>
        <w:t xml:space="preserve"> zestawion</w:t>
      </w:r>
      <w:r w:rsidRPr="0011155D">
        <w:rPr>
          <w:rFonts w:ascii="Times New Roman" w:hAnsi="Times New Roman" w:eastAsia="Times New Roman" w:cs="Times New Roman"/>
          <w:sz w:val="20"/>
          <w:szCs w:val="20"/>
        </w:rPr>
        <w:t>a</w:t>
      </w:r>
      <w:r w:rsidRPr="0011155D" w:rsidR="003D6227">
        <w:rPr>
          <w:rFonts w:ascii="Times New Roman" w:hAnsi="Times New Roman" w:eastAsia="Times New Roman" w:cs="Times New Roman"/>
          <w:sz w:val="20"/>
          <w:szCs w:val="20"/>
        </w:rPr>
        <w:t xml:space="preserve"> ze średnimi wydziałowymi</w:t>
      </w:r>
      <w:r w:rsidRPr="0011155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14"/>
        <w:gridCol w:w="3148"/>
      </w:tblGrid>
      <w:tr w:rsidRPr="0011155D" w:rsidR="003D6227" w:rsidTr="0E532980" w14:paraId="2D804683" w14:textId="77777777">
        <w:tc>
          <w:tcPr>
            <w:tcW w:w="3263" w:type="pct"/>
            <w:shd w:val="clear" w:color="auto" w:fill="0070C0"/>
          </w:tcPr>
          <w:p w:rsidRPr="0011155D" w:rsidR="003D6227" w:rsidP="0011155D" w:rsidRDefault="003D6227" w14:paraId="5513D96E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Jednostka</w:t>
            </w:r>
          </w:p>
        </w:tc>
        <w:tc>
          <w:tcPr>
            <w:tcW w:w="1737" w:type="pct"/>
            <w:shd w:val="clear" w:color="auto" w:fill="0070C0"/>
          </w:tcPr>
          <w:p w:rsidRPr="0011155D" w:rsidR="003D6227" w:rsidP="0011155D" w:rsidRDefault="006B3EB6" w14:paraId="7589409A" w14:textId="3C0112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rok 202</w:t>
            </w:r>
            <w:r w:rsidRPr="0011155D" w:rsidR="25BC45B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11155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/202</w:t>
            </w:r>
            <w:r w:rsidRPr="0011155D" w:rsidR="7CAAAF40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</w:tr>
      <w:tr w:rsidRPr="0011155D" w:rsidR="003D6227" w:rsidTr="0E532980" w14:paraId="34C3F555" w14:textId="77777777">
        <w:tc>
          <w:tcPr>
            <w:tcW w:w="3263" w:type="pct"/>
          </w:tcPr>
          <w:p w:rsidRPr="0011155D" w:rsidR="003D6227" w:rsidP="0011155D" w:rsidRDefault="003D6227" w14:paraId="2D1DDF17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UŚ</w:t>
            </w:r>
          </w:p>
        </w:tc>
        <w:tc>
          <w:tcPr>
            <w:tcW w:w="1737" w:type="pct"/>
          </w:tcPr>
          <w:p w:rsidRPr="0011155D" w:rsidR="003D6227" w:rsidP="0011155D" w:rsidRDefault="006B3EB6" w14:paraId="6E04447A" w14:textId="53D2BC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Pr="0011155D" w:rsidR="5C05D2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Pr="0011155D" w:rsidR="003D6227" w:rsidTr="0E532980" w14:paraId="176430A5" w14:textId="77777777">
        <w:tc>
          <w:tcPr>
            <w:tcW w:w="3263" w:type="pct"/>
          </w:tcPr>
          <w:p w:rsidRPr="0011155D" w:rsidR="003D6227" w:rsidP="0011155D" w:rsidRDefault="003D6227" w14:paraId="5CA77ED7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Wydział Humanistyczny</w:t>
            </w:r>
          </w:p>
        </w:tc>
        <w:tc>
          <w:tcPr>
            <w:tcW w:w="1737" w:type="pct"/>
          </w:tcPr>
          <w:p w:rsidRPr="0011155D" w:rsidR="003D6227" w:rsidP="0011155D" w:rsidRDefault="006B3EB6" w14:paraId="20B9EA74" w14:textId="4F9063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1155D" w:rsidR="388F93C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Pr="0011155D" w:rsidR="003D6227" w:rsidTr="0E532980" w14:paraId="2A5FC57D" w14:textId="77777777">
        <w:tc>
          <w:tcPr>
            <w:tcW w:w="3263" w:type="pct"/>
          </w:tcPr>
          <w:p w:rsidRPr="0011155D" w:rsidR="003D6227" w:rsidP="0011155D" w:rsidRDefault="003D6227" w14:paraId="79AAEEDF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Wydział Nauk Przyrodniczych</w:t>
            </w:r>
          </w:p>
        </w:tc>
        <w:tc>
          <w:tcPr>
            <w:tcW w:w="1737" w:type="pct"/>
          </w:tcPr>
          <w:p w:rsidRPr="0011155D" w:rsidR="003D6227" w:rsidP="0011155D" w:rsidRDefault="006B3EB6" w14:paraId="2D9AE569" w14:textId="1D56C98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1155D" w:rsidR="038D3E0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Pr="0011155D" w:rsidR="003D6227" w:rsidTr="0E532980" w14:paraId="0D3EBA78" w14:textId="77777777">
        <w:tc>
          <w:tcPr>
            <w:tcW w:w="3263" w:type="pct"/>
          </w:tcPr>
          <w:p w:rsidRPr="0011155D" w:rsidR="003D6227" w:rsidP="0011155D" w:rsidRDefault="003D6227" w14:paraId="372805CE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Wydział Nauk Społecznych</w:t>
            </w:r>
          </w:p>
        </w:tc>
        <w:tc>
          <w:tcPr>
            <w:tcW w:w="1737" w:type="pct"/>
          </w:tcPr>
          <w:p w:rsidRPr="0011155D" w:rsidR="003D6227" w:rsidP="0011155D" w:rsidRDefault="006B3EB6" w14:paraId="15738EEC" w14:textId="3F0AAF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Pr="0011155D" w:rsidR="003D6227" w:rsidTr="0E532980" w14:paraId="342733C4" w14:textId="77777777">
        <w:tc>
          <w:tcPr>
            <w:tcW w:w="3263" w:type="pct"/>
          </w:tcPr>
          <w:p w:rsidRPr="0011155D" w:rsidR="003D6227" w:rsidP="0011155D" w:rsidRDefault="003D6227" w14:paraId="3A84530E" w14:textId="449D13C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Wydział Nauk Ścisłych</w:t>
            </w:r>
            <w:r w:rsidRPr="0011155D" w:rsidR="00EB4E76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Technicznych</w:t>
            </w:r>
          </w:p>
        </w:tc>
        <w:tc>
          <w:tcPr>
            <w:tcW w:w="1737" w:type="pct"/>
          </w:tcPr>
          <w:p w:rsidRPr="0011155D" w:rsidR="003D6227" w:rsidP="0011155D" w:rsidRDefault="006B3EB6" w14:paraId="0173022D" w14:textId="2265AF8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1155D" w:rsidR="2C24419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Pr="0011155D" w:rsidR="003D6227" w:rsidTr="0E532980" w14:paraId="57696066" w14:textId="77777777">
        <w:tc>
          <w:tcPr>
            <w:tcW w:w="3263" w:type="pct"/>
          </w:tcPr>
          <w:p w:rsidRPr="0011155D" w:rsidR="003D6227" w:rsidP="0011155D" w:rsidRDefault="003D6227" w14:paraId="5EF9C19E" w14:textId="7B06DDC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Wydział Prawa</w:t>
            </w:r>
            <w:r w:rsidRPr="0011155D" w:rsidR="00EB4E76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Administracji</w:t>
            </w:r>
          </w:p>
        </w:tc>
        <w:tc>
          <w:tcPr>
            <w:tcW w:w="1737" w:type="pct"/>
          </w:tcPr>
          <w:p w:rsidRPr="0011155D" w:rsidR="003D6227" w:rsidP="0011155D" w:rsidRDefault="006B3EB6" w14:paraId="2E85A074" w14:textId="4BCD558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1155D" w:rsidR="00CBAF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Pr="0011155D" w:rsidR="003D6227" w:rsidTr="0E532980" w14:paraId="318F9B78" w14:textId="77777777">
        <w:tc>
          <w:tcPr>
            <w:tcW w:w="3263" w:type="pct"/>
          </w:tcPr>
          <w:p w:rsidRPr="0011155D" w:rsidR="003D6227" w:rsidP="0011155D" w:rsidRDefault="003D6227" w14:paraId="00A4163B" w14:textId="4F6C97D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Wydział Sztuki</w:t>
            </w:r>
            <w:r w:rsidRPr="0011155D" w:rsidR="00EB4E76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Nauk o Edukacji</w:t>
            </w:r>
          </w:p>
        </w:tc>
        <w:tc>
          <w:tcPr>
            <w:tcW w:w="1737" w:type="pct"/>
          </w:tcPr>
          <w:p w:rsidRPr="0011155D" w:rsidR="003D6227" w:rsidP="0011155D" w:rsidRDefault="006B3EB6" w14:paraId="31F57B80" w14:textId="2694C9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Pr="0011155D" w:rsidR="3206A5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Pr="0011155D" w:rsidR="003D6227" w:rsidTr="0E532980" w14:paraId="1A40BB0D" w14:textId="77777777">
        <w:tc>
          <w:tcPr>
            <w:tcW w:w="3263" w:type="pct"/>
          </w:tcPr>
          <w:p w:rsidRPr="0011155D" w:rsidR="003D6227" w:rsidP="0011155D" w:rsidRDefault="003D6227" w14:paraId="6D4C11E3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Wydział Teologiczny</w:t>
            </w:r>
          </w:p>
        </w:tc>
        <w:tc>
          <w:tcPr>
            <w:tcW w:w="1737" w:type="pct"/>
          </w:tcPr>
          <w:p w:rsidRPr="0011155D" w:rsidR="003D6227" w:rsidP="0011155D" w:rsidRDefault="006B3EB6" w14:paraId="1A571802" w14:textId="561EBE1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Pr="0011155D" w:rsidR="003D6227" w:rsidTr="0E532980" w14:paraId="29895C53" w14:textId="77777777">
        <w:tc>
          <w:tcPr>
            <w:tcW w:w="3263" w:type="pct"/>
          </w:tcPr>
          <w:p w:rsidRPr="0011155D" w:rsidR="003D6227" w:rsidP="0011155D" w:rsidRDefault="003D6227" w14:paraId="4054AFA6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Szkoła Filmowa</w:t>
            </w:r>
          </w:p>
        </w:tc>
        <w:tc>
          <w:tcPr>
            <w:tcW w:w="1737" w:type="pct"/>
          </w:tcPr>
          <w:p w:rsidRPr="0011155D" w:rsidR="003D6227" w:rsidP="0011155D" w:rsidRDefault="006B3EB6" w14:paraId="0BE3498D" w14:textId="31157AD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1155D" w:rsidR="0252B7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Pr="0011155D" w:rsidR="003D6227" w:rsidTr="0E532980" w14:paraId="39E7CB32" w14:textId="77777777">
        <w:tc>
          <w:tcPr>
            <w:tcW w:w="3263" w:type="pct"/>
          </w:tcPr>
          <w:p w:rsidRPr="0011155D" w:rsidR="003D6227" w:rsidP="0011155D" w:rsidRDefault="003D6227" w14:paraId="15A7952D" w14:textId="786768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Centrum Wychowania Fizycznego</w:t>
            </w:r>
            <w:r w:rsidRPr="0011155D" w:rsidR="00EB4E76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Sportu</w:t>
            </w:r>
          </w:p>
        </w:tc>
        <w:tc>
          <w:tcPr>
            <w:tcW w:w="1737" w:type="pct"/>
          </w:tcPr>
          <w:p w:rsidRPr="0011155D" w:rsidR="003D6227" w:rsidP="0011155D" w:rsidRDefault="3B923A86" w14:paraId="59129B97" w14:textId="2BCC78D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Pr="0011155D" w:rsidR="18E0AA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Pr="0011155D" w:rsidR="003D6227" w:rsidTr="0E532980" w14:paraId="64F38021" w14:textId="77777777">
        <w:tc>
          <w:tcPr>
            <w:tcW w:w="3263" w:type="pct"/>
          </w:tcPr>
          <w:p w:rsidRPr="0011155D" w:rsidR="003D6227" w:rsidP="0011155D" w:rsidRDefault="003D6227" w14:paraId="0C6B00C1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Studium Praktycznej Nauki Języków Obcych</w:t>
            </w:r>
          </w:p>
        </w:tc>
        <w:tc>
          <w:tcPr>
            <w:tcW w:w="1737" w:type="pct"/>
          </w:tcPr>
          <w:p w:rsidRPr="0011155D" w:rsidR="003D6227" w:rsidP="0011155D" w:rsidRDefault="3B923A86" w14:paraId="00089973" w14:textId="4A28B9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11155D" w:rsidR="43ADD2A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Pr="0011155D" w:rsidR="003D6227" w:rsidTr="0E532980" w14:paraId="687A862E" w14:textId="77777777">
        <w:tc>
          <w:tcPr>
            <w:tcW w:w="3263" w:type="pct"/>
          </w:tcPr>
          <w:p w:rsidRPr="0011155D" w:rsidR="003D6227" w:rsidP="0011155D" w:rsidRDefault="003D6227" w14:paraId="6C876A66" w14:textId="689B405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Szkoła Języka</w:t>
            </w:r>
            <w:r w:rsidRPr="0011155D" w:rsidR="00EB4E76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Kultury Polskiej</w:t>
            </w:r>
          </w:p>
        </w:tc>
        <w:tc>
          <w:tcPr>
            <w:tcW w:w="1737" w:type="pct"/>
          </w:tcPr>
          <w:p w:rsidRPr="0011155D" w:rsidR="003D6227" w:rsidP="0011155D" w:rsidRDefault="3B923A86" w14:paraId="2209AE90" w14:textId="6DE6E3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Pr="0011155D" w:rsidR="2B329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Pr="0011155D" w:rsidR="00234A03" w:rsidP="0011155D" w:rsidRDefault="00234A03" w14:paraId="3BA1BAC3" w14:textId="069FAC9F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1155D" w:rsidR="00E518A3" w:rsidP="0011155D" w:rsidRDefault="00E518A3" w14:paraId="21B02039" w14:textId="4A23746C">
      <w:pPr>
        <w:spacing w:after="0" w:line="360" w:lineRule="auto"/>
        <w:ind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W grupie zajęć podlegających procesowi ankietyzacji aż </w:t>
      </w:r>
      <w:r w:rsidRPr="0011155D" w:rsidR="133B82DB">
        <w:rPr>
          <w:rFonts w:ascii="Times New Roman" w:hAnsi="Times New Roman" w:eastAsia="Times New Roman" w:cs="Times New Roman"/>
          <w:sz w:val="24"/>
          <w:szCs w:val="24"/>
        </w:rPr>
        <w:t xml:space="preserve">91,9% 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modułów otrzymało oceny dobre lub bardzo dobre, co obrazuje poniższa tabela [tab.4.].  Biorąc pod uwagę ten współczynnik można potwierdzić wysoką jakość dydaktyki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Uniwersytecie. To wartość znacząca dla całego procesu realizacji kształcenia, ponieważ ocena dokonywana jest przez studentów bezpośrednio uczestniczących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zajęciach</w:t>
      </w:r>
      <w:r w:rsidRPr="0011155D" w:rsidR="000B3BF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11155D" w:rsidR="00767F0F">
        <w:rPr>
          <w:rFonts w:ascii="Times New Roman" w:hAnsi="Times New Roman" w:eastAsia="Times New Roman" w:cs="Times New Roman"/>
          <w:sz w:val="24"/>
          <w:szCs w:val="24"/>
        </w:rPr>
        <w:t>Ponadto zajęcia mogły być również oceniane przez nauczycieli akademickich (za pomocą formularza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w </w:t>
      </w:r>
      <w:r w:rsidRPr="0011155D" w:rsidR="00767F0F">
        <w:rPr>
          <w:rFonts w:ascii="Times New Roman" w:hAnsi="Times New Roman" w:eastAsia="Times New Roman" w:cs="Times New Roman"/>
          <w:sz w:val="24"/>
          <w:szCs w:val="24"/>
        </w:rPr>
        <w:t>Portalu Pracownika). Nauczyciele akademiccy udzielili 212 opinii na temat prowadzonych przez siebie zajęć, współpracy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z </w:t>
      </w:r>
      <w:r w:rsidRPr="0011155D" w:rsidR="00767F0F">
        <w:rPr>
          <w:rFonts w:ascii="Times New Roman" w:hAnsi="Times New Roman" w:eastAsia="Times New Roman" w:cs="Times New Roman"/>
          <w:sz w:val="24"/>
          <w:szCs w:val="24"/>
        </w:rPr>
        <w:t>grupą</w:t>
      </w:r>
      <w:r w:rsidRPr="0011155D" w:rsidR="00EB4E76">
        <w:rPr>
          <w:rFonts w:ascii="Times New Roman" w:hAnsi="Times New Roman" w:eastAsia="Times New Roman" w:cs="Times New Roman"/>
          <w:sz w:val="24"/>
          <w:szCs w:val="24"/>
        </w:rPr>
        <w:t xml:space="preserve"> i </w:t>
      </w:r>
      <w:r w:rsidRPr="0011155D" w:rsidR="00767F0F">
        <w:rPr>
          <w:rFonts w:ascii="Times New Roman" w:hAnsi="Times New Roman" w:eastAsia="Times New Roman" w:cs="Times New Roman"/>
          <w:sz w:val="24"/>
          <w:szCs w:val="24"/>
        </w:rPr>
        <w:t xml:space="preserve">innymi elementami wpływającymi na jakość kształcenia. </w:t>
      </w:r>
    </w:p>
    <w:p w:rsidRPr="0011155D" w:rsidR="003D6227" w:rsidP="0011155D" w:rsidRDefault="003D6227" w14:paraId="0A58621E" w14:textId="6B191F96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1155D" w:rsidR="005570FD" w:rsidP="0011155D" w:rsidRDefault="005570FD" w14:paraId="685B0D76" w14:textId="68197254">
      <w:pPr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11155D">
        <w:rPr>
          <w:rFonts w:ascii="Times New Roman" w:hAnsi="Times New Roman" w:eastAsia="Times New Roman" w:cs="Times New Roman"/>
          <w:i/>
          <w:iCs/>
          <w:sz w:val="20"/>
          <w:szCs w:val="20"/>
        </w:rPr>
        <w:t>Tab.4.</w:t>
      </w:r>
      <w:r w:rsidRPr="0011155D">
        <w:rPr>
          <w:rFonts w:ascii="Times New Roman" w:hAnsi="Times New Roman" w:eastAsia="Times New Roman" w:cs="Times New Roman"/>
          <w:sz w:val="20"/>
          <w:szCs w:val="20"/>
        </w:rPr>
        <w:t xml:space="preserve"> Średni przedział ocen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2296"/>
        <w:gridCol w:w="2018"/>
        <w:gridCol w:w="2013"/>
        <w:gridCol w:w="946"/>
      </w:tblGrid>
      <w:tr w:rsidRPr="0011155D" w:rsidR="00EC4256" w:rsidTr="0029792E" w14:paraId="5B725750" w14:textId="77777777">
        <w:trPr>
          <w:trHeight w:val="463"/>
        </w:trPr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8" w:space="0"/>
            </w:tcBorders>
            <w:shd w:val="clear" w:color="auto" w:fill="0070C0"/>
            <w:vAlign w:val="center"/>
            <w:hideMark/>
          </w:tcPr>
          <w:p w:rsidRPr="0011155D" w:rsidR="00EC4256" w:rsidP="0011155D" w:rsidRDefault="00EC4256" w14:paraId="3DFF538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Przedział średnich</w:t>
            </w:r>
          </w:p>
        </w:tc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8" w:space="0"/>
            </w:tcBorders>
            <w:shd w:val="clear" w:color="auto" w:fill="0070C0"/>
            <w:vAlign w:val="center"/>
            <w:hideMark/>
          </w:tcPr>
          <w:p w:rsidRPr="0011155D" w:rsidR="00EC4256" w:rsidP="0011155D" w:rsidRDefault="00EC4256" w14:paraId="073419C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Liczba ocen </w:t>
            </w:r>
            <w:proofErr w:type="spellStart"/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sem</w:t>
            </w:r>
            <w:proofErr w:type="spellEnd"/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. zimowy</w:t>
            </w:r>
          </w:p>
        </w:tc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8" w:space="0"/>
            </w:tcBorders>
            <w:shd w:val="clear" w:color="auto" w:fill="0070C0"/>
            <w:vAlign w:val="center"/>
            <w:hideMark/>
          </w:tcPr>
          <w:p w:rsidRPr="0011155D" w:rsidR="00EC4256" w:rsidP="0011155D" w:rsidRDefault="00EC4256" w14:paraId="74CE399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 xml:space="preserve">Liczba ocen </w:t>
            </w:r>
            <w:proofErr w:type="spellStart"/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sem</w:t>
            </w:r>
            <w:proofErr w:type="spellEnd"/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. letni</w:t>
            </w:r>
          </w:p>
        </w:tc>
        <w:tc>
          <w:tcPr>
            <w:tcW w:w="0" w:type="auto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nil"/>
              <w:right w:val="single" w:color="000000" w:themeColor="text1" w:sz="8" w:space="0"/>
            </w:tcBorders>
            <w:shd w:val="clear" w:color="auto" w:fill="0070C0"/>
            <w:vAlign w:val="center"/>
            <w:hideMark/>
          </w:tcPr>
          <w:p w:rsidRPr="0011155D" w:rsidR="00EC4256" w:rsidP="0011155D" w:rsidRDefault="2E0E60EA" w14:paraId="26853712" w14:textId="220701C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Liczba ocen rok 2</w:t>
            </w:r>
            <w:r w:rsidRPr="0011155D" w:rsidR="3975045A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2</w:t>
            </w:r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/2</w:t>
            </w:r>
            <w:r w:rsidRPr="0011155D" w:rsidR="3B1A4D7B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color="000000" w:themeColor="text1" w:sz="8" w:space="0"/>
              <w:left w:val="nil"/>
              <w:bottom w:val="nil"/>
              <w:right w:val="single" w:color="000000" w:themeColor="text1" w:sz="8" w:space="0"/>
            </w:tcBorders>
            <w:shd w:val="clear" w:color="auto" w:fill="0070C0"/>
            <w:vAlign w:val="center"/>
            <w:hideMark/>
          </w:tcPr>
          <w:p w:rsidRPr="0011155D" w:rsidR="00EC4256" w:rsidP="0011155D" w:rsidRDefault="00EC4256" w14:paraId="5F9E6AC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% ocen</w:t>
            </w:r>
          </w:p>
        </w:tc>
      </w:tr>
      <w:tr w:rsidRPr="0011155D" w:rsidR="00EC4256" w:rsidTr="0029792E" w14:paraId="55D42ED0" w14:textId="77777777">
        <w:trPr>
          <w:trHeight w:val="463"/>
        </w:trPr>
        <w:tc>
          <w:tcPr>
            <w:tcW w:w="0" w:type="auto"/>
            <w:vMerge/>
            <w:vAlign w:val="center"/>
            <w:hideMark/>
          </w:tcPr>
          <w:p w:rsidRPr="0011155D" w:rsidR="00EC4256" w:rsidP="0011155D" w:rsidRDefault="00EC4256" w14:paraId="4C8C72C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11155D" w:rsidR="00EC4256" w:rsidP="0011155D" w:rsidRDefault="00EC4256" w14:paraId="431CFB0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11155D" w:rsidR="00EC4256" w:rsidP="0011155D" w:rsidRDefault="00EC4256" w14:paraId="49D77CE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Pr="0011155D" w:rsidR="00EC4256" w:rsidP="0011155D" w:rsidRDefault="00EC4256" w14:paraId="6AE0AF8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shd w:val="clear" w:color="auto" w:fill="0070C0"/>
            <w:vAlign w:val="center"/>
            <w:hideMark/>
          </w:tcPr>
          <w:p w:rsidRPr="0011155D" w:rsidR="00EC4256" w:rsidP="0011155D" w:rsidRDefault="00B265FC" w14:paraId="48BB55B7" w14:textId="04C141A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rok 21/22</w:t>
            </w:r>
          </w:p>
        </w:tc>
      </w:tr>
      <w:tr w:rsidRPr="0011155D" w:rsidR="00EC4256" w:rsidTr="0029792E" w14:paraId="47328EB3" w14:textId="77777777">
        <w:trPr>
          <w:trHeight w:val="463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00EC4256" w14:paraId="4814B98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6BBC4938" w14:paraId="5E1E5352" w14:textId="3506879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35AFFDE6" w14:paraId="4C6F647A" w14:textId="10EC328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35AFFDE6" w14:paraId="686E878A" w14:textId="14E6C12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4545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  <w:hideMark/>
          </w:tcPr>
          <w:p w:rsidRPr="0011155D" w:rsidR="00EC4256" w:rsidP="0011155D" w:rsidRDefault="28E87456" w14:paraId="7352B68F" w14:textId="5D16AC6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1155D" w:rsidR="314FEDD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8,87</w:t>
            </w: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%</w:t>
            </w:r>
          </w:p>
        </w:tc>
      </w:tr>
      <w:tr w:rsidRPr="0011155D" w:rsidR="00EC4256" w:rsidTr="0029792E" w14:paraId="370D3037" w14:textId="77777777">
        <w:trPr>
          <w:trHeight w:val="463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00EC4256" w14:paraId="7999418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4,50-4,99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2E0A5ED3" w14:paraId="077352A7" w14:textId="53CE4CD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4496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5F6C1E34" w14:paraId="6E368125" w14:textId="383BD20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3322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4174C66A" w14:paraId="3C055649" w14:textId="28CB7C9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7818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  <w:hideMark/>
          </w:tcPr>
          <w:p w:rsidRPr="0011155D" w:rsidR="00EC4256" w:rsidP="0011155D" w:rsidRDefault="73825B3D" w14:paraId="33CC134D" w14:textId="13301935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49,66</w:t>
            </w:r>
            <w:r w:rsidRPr="0011155D" w:rsidR="28E87456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%</w:t>
            </w:r>
          </w:p>
        </w:tc>
      </w:tr>
      <w:tr w:rsidRPr="0011155D" w:rsidR="00EC4256" w:rsidTr="0029792E" w14:paraId="4931DFCD" w14:textId="77777777">
        <w:trPr>
          <w:trHeight w:val="463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00EC4256" w14:paraId="0FFF6D2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4,00-4,49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30CD2C69" w14:paraId="550B0300" w14:textId="37C6524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65D2B498" w14:paraId="227EF9AF" w14:textId="61562B3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6614BB48" w14:paraId="7C3D6A83" w14:textId="0920260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11155D" w:rsidR="00EC4256" w:rsidP="0011155D" w:rsidRDefault="28E87456" w14:paraId="5B2C2FC8" w14:textId="2F92D33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13,</w:t>
            </w:r>
            <w:r w:rsidRPr="0011155D" w:rsidR="6227F70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41</w:t>
            </w: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%</w:t>
            </w:r>
          </w:p>
        </w:tc>
      </w:tr>
      <w:tr w:rsidRPr="0011155D" w:rsidR="00EC4256" w:rsidTr="0029792E" w14:paraId="40FB95E9" w14:textId="77777777">
        <w:trPr>
          <w:trHeight w:val="463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00EC4256" w14:paraId="196394A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3,50-3,99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7AB47E49" w14:paraId="1C4A10E7" w14:textId="607D60C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32F9C849" w14:paraId="60771FAB" w14:textId="155132F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7D0E9455" w14:paraId="5506D456" w14:textId="0373C8B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vAlign w:val="center"/>
            <w:hideMark/>
          </w:tcPr>
          <w:p w:rsidRPr="0011155D" w:rsidR="00EC4256" w:rsidP="0011155D" w:rsidRDefault="28E87456" w14:paraId="020CD2B2" w14:textId="4BA8B28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4,</w:t>
            </w:r>
            <w:r w:rsidRPr="0011155D" w:rsidR="19F83C49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29</w:t>
            </w: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%</w:t>
            </w:r>
          </w:p>
        </w:tc>
      </w:tr>
      <w:tr w:rsidRPr="0011155D" w:rsidR="00EC4256" w:rsidTr="0029792E" w14:paraId="249DEC3B" w14:textId="77777777">
        <w:trPr>
          <w:trHeight w:val="463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00EC4256" w14:paraId="0EB2DBA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3,00-3,49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109B3B42" w14:paraId="7EA21FA9" w14:textId="2DAA8A6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1AECC9B2" w14:paraId="2CA58FDB" w14:textId="5E4DA82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622253D1" w14:paraId="668C88F7" w14:textId="14F594F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  <w:hideMark/>
          </w:tcPr>
          <w:p w:rsidRPr="0011155D" w:rsidR="00EC4256" w:rsidP="0011155D" w:rsidRDefault="28E87456" w14:paraId="386F65B7" w14:textId="62925D4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1,</w:t>
            </w:r>
            <w:r w:rsidRPr="0011155D" w:rsidR="5DFA947E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48</w:t>
            </w: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%</w:t>
            </w:r>
          </w:p>
        </w:tc>
      </w:tr>
      <w:tr w:rsidRPr="0011155D" w:rsidR="00EC4256" w:rsidTr="0029792E" w14:paraId="45CDB865" w14:textId="77777777">
        <w:trPr>
          <w:trHeight w:val="463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00EC4256" w14:paraId="597C699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  <w:t>&lt;3,00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04164CDF" w14:paraId="14EC0E71" w14:textId="200243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10130709" w14:paraId="3EF2C231" w14:textId="4100A10E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1155D" w:rsidR="00EC4256" w:rsidP="0011155D" w:rsidRDefault="2391DA57" w14:paraId="0210B409" w14:textId="26572A7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  <w:hideMark/>
          </w:tcPr>
          <w:p w:rsidRPr="0011155D" w:rsidR="00EC4256" w:rsidP="0011155D" w:rsidRDefault="28E87456" w14:paraId="55D775C4" w14:textId="0C8D104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1,</w:t>
            </w:r>
            <w:r w:rsidRPr="0011155D" w:rsidR="56B4942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66</w:t>
            </w:r>
            <w:r w:rsidRPr="0011155D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pl-PL"/>
              </w:rPr>
              <w:t>%</w:t>
            </w:r>
          </w:p>
        </w:tc>
      </w:tr>
    </w:tbl>
    <w:p w:rsidRPr="0011155D" w:rsidR="00EE6477" w:rsidP="0011155D" w:rsidRDefault="00EE6477" w14:paraId="1DBEDCBE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1155D" w:rsidR="00EE6477" w:rsidP="0011155D" w:rsidRDefault="00A43B95" w14:paraId="28E35AA8" w14:textId="6A8AF8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155D">
        <w:rPr>
          <w:rFonts w:ascii="Times New Roman" w:hAnsi="Times New Roman"/>
          <w:b/>
          <w:bCs/>
          <w:sz w:val="24"/>
          <w:szCs w:val="24"/>
        </w:rPr>
        <w:t xml:space="preserve">Hospitacje </w:t>
      </w:r>
    </w:p>
    <w:p w:rsidRPr="0011155D" w:rsidR="00234A03" w:rsidP="0011155D" w:rsidRDefault="65B53FAC" w14:paraId="10F009CD" w14:textId="272EAFF8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</w:rPr>
      </w:pPr>
      <w:r w:rsidRPr="4F062333" w:rsidR="65B53FAC">
        <w:rPr>
          <w:rFonts w:ascii="Times New Roman" w:hAnsi="Times New Roman" w:eastAsia="Times New Roman"/>
          <w:sz w:val="24"/>
          <w:szCs w:val="24"/>
        </w:rPr>
        <w:t>Hospitacje stanowią jeden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 xml:space="preserve"> z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ważniejszych elementów oceny realizacji dydaktyki akademickiej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 xml:space="preserve"> w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środowisku uczelni</w:t>
      </w:r>
      <w:r w:rsidRPr="4F062333" w:rsidR="3F327EF4">
        <w:rPr>
          <w:rFonts w:ascii="Times New Roman" w:hAnsi="Times New Roman" w:eastAsia="Times New Roman"/>
          <w:sz w:val="24"/>
          <w:szCs w:val="24"/>
        </w:rPr>
        <w:t>.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 xml:space="preserve"> </w:t>
      </w:r>
      <w:r w:rsidRPr="4F062333" w:rsidR="410E5558">
        <w:rPr>
          <w:rFonts w:ascii="Times New Roman" w:hAnsi="Times New Roman" w:eastAsia="Times New Roman"/>
          <w:sz w:val="24"/>
          <w:szCs w:val="24"/>
        </w:rPr>
        <w:t>W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>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wielu przypadkach, hospitacje mają jednak negatywną konotację. Ocena ta była powodowana warunkami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 xml:space="preserve"> w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jakich podejmowano najczęściej decyzję o jej przeprowadzeniu</w:t>
      </w:r>
      <w:r w:rsidRPr="4F062333" w:rsidR="61FF97E8">
        <w:rPr>
          <w:rFonts w:ascii="Times New Roman" w:hAnsi="Times New Roman" w:eastAsia="Times New Roman"/>
          <w:sz w:val="24"/>
          <w:szCs w:val="24"/>
        </w:rPr>
        <w:t>.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 xml:space="preserve"> </w:t>
      </w:r>
      <w:r w:rsidRPr="4F062333" w:rsidR="21A44D9A">
        <w:rPr>
          <w:rFonts w:ascii="Times New Roman" w:hAnsi="Times New Roman" w:eastAsia="Times New Roman"/>
          <w:sz w:val="24"/>
          <w:szCs w:val="24"/>
        </w:rPr>
        <w:t>W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>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grupie pracowników objętych procedurą znajdowały się, co</w:t>
      </w:r>
      <w:r w:rsidRPr="4F062333" w:rsidR="0029792E">
        <w:rPr>
          <w:rFonts w:ascii="Times New Roman" w:hAnsi="Times New Roman" w:eastAsia="Times New Roman"/>
          <w:sz w:val="24"/>
          <w:szCs w:val="24"/>
        </w:rPr>
        <w:t>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naturalne, osoby nowozatrudnione oraz pracownicy niesamodzielni, ale także osoby co</w:t>
      </w:r>
      <w:r w:rsidRPr="4F062333" w:rsidR="0029792E">
        <w:rPr>
          <w:rFonts w:ascii="Times New Roman" w:hAnsi="Times New Roman" w:eastAsia="Times New Roman"/>
          <w:sz w:val="24"/>
          <w:szCs w:val="24"/>
        </w:rPr>
        <w:t>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do</w:t>
      </w:r>
      <w:r w:rsidRPr="4F062333" w:rsidR="0029792E">
        <w:rPr>
          <w:rFonts w:ascii="Times New Roman" w:hAnsi="Times New Roman" w:eastAsia="Times New Roman"/>
          <w:sz w:val="24"/>
          <w:szCs w:val="24"/>
        </w:rPr>
        <w:t>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których zaistniały poważne wątpliwości związane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 xml:space="preserve"> z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jakością prowadzonych zajęć. Tę ostatnią grupę wyłaniano głównie na podstawie ocen studenckich, opinii przedstawianych dyrekcjom kierunków przez uczestników zajęć lub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 xml:space="preserve"> w 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>sytuacjach, gdy średnia ocen spadła poniżej ustalonego, średniego progu – była niższa niż 3,5.</w:t>
      </w:r>
      <w:r w:rsidRPr="4F062333" w:rsidR="0F042C70">
        <w:rPr>
          <w:rFonts w:ascii="Times New Roman" w:hAnsi="Times New Roman" w:eastAsia="Times New Roman"/>
          <w:sz w:val="24"/>
          <w:szCs w:val="24"/>
        </w:rPr>
        <w:t xml:space="preserve"> </w:t>
      </w:r>
      <w:r w:rsidRPr="4F062333" w:rsidR="38497F31">
        <w:rPr>
          <w:rFonts w:ascii="Times New Roman" w:hAnsi="Times New Roman" w:eastAsia="Times New Roman"/>
          <w:sz w:val="24"/>
          <w:szCs w:val="24"/>
        </w:rPr>
        <w:t>P</w:t>
      </w:r>
      <w:r w:rsidRPr="4F062333" w:rsidR="65B53FAC">
        <w:rPr>
          <w:rFonts w:ascii="Times New Roman" w:hAnsi="Times New Roman" w:eastAsia="Times New Roman"/>
          <w:sz w:val="24"/>
          <w:szCs w:val="24"/>
        </w:rPr>
        <w:t xml:space="preserve">rocedurze hospitacji podlegały zajęcia </w:t>
      </w:r>
      <w:r w:rsidRPr="4F062333" w:rsidR="04C9DCAC">
        <w:rPr>
          <w:rFonts w:ascii="Times New Roman" w:hAnsi="Times New Roman" w:eastAsia="Times New Roman"/>
          <w:sz w:val="24"/>
          <w:szCs w:val="24"/>
        </w:rPr>
        <w:t>prowadzone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 xml:space="preserve"> w </w:t>
      </w:r>
      <w:r w:rsidRPr="4F062333" w:rsidR="04C9DCAC">
        <w:rPr>
          <w:rFonts w:ascii="Times New Roman" w:hAnsi="Times New Roman" w:eastAsia="Times New Roman"/>
          <w:sz w:val="24"/>
          <w:szCs w:val="24"/>
        </w:rPr>
        <w:t>formie kontaktowej, jak</w:t>
      </w:r>
      <w:r w:rsidRPr="4F062333" w:rsidR="432F187D">
        <w:rPr>
          <w:rFonts w:ascii="Times New Roman" w:hAnsi="Times New Roman" w:eastAsia="Times New Roman"/>
          <w:sz w:val="24"/>
          <w:szCs w:val="24"/>
        </w:rPr>
        <w:t xml:space="preserve"> i </w:t>
      </w:r>
      <w:r w:rsidRPr="4F062333" w:rsidR="04C9DCAC">
        <w:rPr>
          <w:rFonts w:ascii="Times New Roman" w:hAnsi="Times New Roman" w:eastAsia="Times New Roman"/>
          <w:sz w:val="24"/>
          <w:szCs w:val="24"/>
        </w:rPr>
        <w:t xml:space="preserve">online. </w:t>
      </w:r>
    </w:p>
    <w:p w:rsidRPr="0011155D" w:rsidR="00234A03" w:rsidP="0011155D" w:rsidRDefault="00234A03" w14:paraId="63B4C254" w14:textId="77777777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eastAsia="Times New Roman"/>
          <w:sz w:val="24"/>
          <w:szCs w:val="24"/>
        </w:rPr>
      </w:pPr>
    </w:p>
    <w:p w:rsidR="005A2684" w:rsidP="0011155D" w:rsidRDefault="00234A03" w14:paraId="2A5F3516" w14:textId="6AD6F420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eastAsia="Times New Roman"/>
          <w:i/>
          <w:iCs/>
          <w:sz w:val="20"/>
          <w:szCs w:val="20"/>
        </w:rPr>
      </w:pPr>
      <w:r w:rsidRPr="0011155D">
        <w:rPr>
          <w:rFonts w:ascii="Times New Roman" w:hAnsi="Times New Roman" w:eastAsia="Times New Roman"/>
          <w:i/>
          <w:iCs/>
          <w:sz w:val="20"/>
          <w:szCs w:val="20"/>
        </w:rPr>
        <w:t>Tab.5.</w:t>
      </w:r>
    </w:p>
    <w:tbl>
      <w:tblPr>
        <w:tblStyle w:val="Tabela-Siatka"/>
        <w:tblpPr w:leftFromText="141" w:rightFromText="141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2869"/>
        <w:gridCol w:w="3030"/>
        <w:gridCol w:w="3163"/>
      </w:tblGrid>
      <w:tr w:rsidRPr="0011155D" w:rsidR="0011155D" w:rsidTr="4F062333" w14:paraId="541ADBD9" w14:textId="77777777">
        <w:trPr>
          <w:trHeight w:val="806"/>
        </w:trPr>
        <w:tc>
          <w:tcPr>
            <w:tcW w:w="5000" w:type="pct"/>
            <w:gridSpan w:val="3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30C6C25B" w14:textId="5ECDFED9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Podział liczby wszystkich przeprowadzonych hospitacji zajęć na kierunkach ze względu na stanowisko (i</w:t>
            </w:r>
            <w:r w:rsidR="0029792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grupę pracowniczą) prowadzącego hospitowane zajęcia</w:t>
            </w:r>
          </w:p>
        </w:tc>
      </w:tr>
      <w:tr w:rsidRPr="0011155D" w:rsidR="0011155D" w:rsidTr="4F062333" w14:paraId="25C5F695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2570F5EA" w14:textId="77777777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672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7996E2ED" w14:textId="77777777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</w:t>
            </w:r>
          </w:p>
          <w:p w:rsidRPr="0011155D" w:rsidR="0011155D" w:rsidP="00687C04" w:rsidRDefault="0011155D" w14:paraId="2C8CA4E5" w14:textId="77777777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badawczo-dydaktycznych</w:t>
            </w:r>
          </w:p>
        </w:tc>
        <w:tc>
          <w:tcPr>
            <w:tcW w:w="1745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2A9EB657" w14:textId="77777777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 dydaktycznych</w:t>
            </w:r>
          </w:p>
        </w:tc>
      </w:tr>
      <w:tr w:rsidRPr="0011155D" w:rsidR="0011155D" w:rsidTr="4F062333" w14:paraId="77B65E43" w14:textId="77777777">
        <w:trPr>
          <w:trHeight w:val="251"/>
        </w:trPr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369176D7" w14:textId="77777777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1672" w:type="pct"/>
            <w:tcMar/>
            <w:vAlign w:val="center"/>
          </w:tcPr>
          <w:p w:rsidRPr="0011155D" w:rsidR="0011155D" w:rsidP="00687C04" w:rsidRDefault="0011155D" w14:paraId="0588DF3D" w14:textId="7B7241D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4005ED40">
              <w:rPr>
                <w:rFonts w:ascii="Times New Roman" w:hAnsi="Times New Roman" w:eastAsia="Palatino Linotype"/>
                <w:sz w:val="20"/>
                <w:szCs w:val="20"/>
              </w:rPr>
              <w:t>1</w:t>
            </w:r>
            <w:r w:rsidRPr="4F062333" w:rsidR="18E7CE0F">
              <w:rPr>
                <w:rFonts w:ascii="Times New Roman" w:hAnsi="Times New Roman" w:eastAsia="Palatino Linotype"/>
                <w:sz w:val="20"/>
                <w:szCs w:val="20"/>
              </w:rPr>
              <w:t>5</w:t>
            </w:r>
          </w:p>
        </w:tc>
        <w:tc>
          <w:tcPr>
            <w:tcW w:w="1745" w:type="pct"/>
            <w:tcMar/>
            <w:vAlign w:val="center"/>
          </w:tcPr>
          <w:p w:rsidRPr="0011155D" w:rsidR="0011155D" w:rsidP="00687C04" w:rsidRDefault="0011155D" w14:paraId="6EE8E56C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</w:p>
        </w:tc>
      </w:tr>
      <w:tr w:rsidRPr="0011155D" w:rsidR="0011155D" w:rsidTr="4F062333" w14:paraId="37ACBEBB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2A4B1E43" w14:textId="77777777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1672" w:type="pct"/>
            <w:tcMar/>
            <w:vAlign w:val="center"/>
          </w:tcPr>
          <w:p w:rsidRPr="0011155D" w:rsidR="0011155D" w:rsidP="00687C04" w:rsidRDefault="0011155D" w14:paraId="1ED4B5CD" w14:textId="3009463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1319AD61">
              <w:rPr>
                <w:rFonts w:ascii="Times New Roman" w:hAnsi="Times New Roman" w:eastAsia="Palatino Linotype"/>
                <w:sz w:val="20"/>
                <w:szCs w:val="20"/>
              </w:rPr>
              <w:t>3</w:t>
            </w:r>
            <w:r w:rsidRPr="4F062333" w:rsidR="063090B6">
              <w:rPr>
                <w:rFonts w:ascii="Times New Roman" w:hAnsi="Times New Roman" w:eastAsia="Palatino Linotype"/>
                <w:sz w:val="20"/>
                <w:szCs w:val="20"/>
              </w:rPr>
              <w:t>8</w:t>
            </w:r>
          </w:p>
        </w:tc>
        <w:tc>
          <w:tcPr>
            <w:tcW w:w="1745" w:type="pct"/>
            <w:tcMar/>
            <w:vAlign w:val="center"/>
          </w:tcPr>
          <w:p w:rsidRPr="0011155D" w:rsidR="0011155D" w:rsidP="00687C04" w:rsidRDefault="0011155D" w14:paraId="614F3B8F" w14:textId="7757D56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1319AD61">
              <w:rPr>
                <w:rFonts w:ascii="Times New Roman" w:hAnsi="Times New Roman" w:eastAsia="Palatino Linotype"/>
                <w:sz w:val="20"/>
                <w:szCs w:val="20"/>
              </w:rPr>
              <w:t>3</w:t>
            </w:r>
          </w:p>
        </w:tc>
      </w:tr>
      <w:tr w:rsidRPr="0011155D" w:rsidR="0011155D" w:rsidTr="4F062333" w14:paraId="7EBCDC98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791DE758" w14:textId="77777777">
            <w:pPr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1672" w:type="pct"/>
            <w:tcMar/>
            <w:vAlign w:val="center"/>
          </w:tcPr>
          <w:p w:rsidRPr="0011155D" w:rsidR="0011155D" w:rsidP="4F062333" w:rsidRDefault="0011155D" w14:paraId="0B410BE4" w14:textId="33500677">
            <w:pPr>
              <w:pStyle w:val="Akapitzlist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1B3F5759">
              <w:rPr>
                <w:rFonts w:ascii="Times New Roman" w:hAnsi="Times New Roman" w:eastAsia="Palatino Linotype"/>
                <w:sz w:val="20"/>
                <w:szCs w:val="20"/>
              </w:rPr>
              <w:t>8</w:t>
            </w:r>
            <w:r w:rsidRPr="4F062333" w:rsidR="777164B1">
              <w:rPr>
                <w:rFonts w:ascii="Times New Roman" w:hAnsi="Times New Roman" w:eastAsia="Palatino Linotype"/>
                <w:sz w:val="20"/>
                <w:szCs w:val="20"/>
              </w:rPr>
              <w:t>3</w:t>
            </w:r>
          </w:p>
        </w:tc>
        <w:tc>
          <w:tcPr>
            <w:tcW w:w="1745" w:type="pct"/>
            <w:tcMar/>
            <w:vAlign w:val="center"/>
          </w:tcPr>
          <w:p w:rsidRPr="0011155D" w:rsidR="0011155D" w:rsidP="00687C04" w:rsidRDefault="0011155D" w14:paraId="5971D31D" w14:textId="082DCB0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1B3F5759">
              <w:rPr>
                <w:rFonts w:ascii="Times New Roman" w:hAnsi="Times New Roman" w:eastAsia="Palatino Linotype"/>
                <w:sz w:val="20"/>
                <w:szCs w:val="20"/>
              </w:rPr>
              <w:t>26</w:t>
            </w:r>
          </w:p>
        </w:tc>
      </w:tr>
      <w:tr w:rsidRPr="0011155D" w:rsidR="0011155D" w:rsidTr="4F062333" w14:paraId="7B41FCD4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2E67A3FD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 w:rsidRPr="0011155D">
              <w:rPr>
                <w:rFonts w:ascii="Times New Roman" w:hAnsi="Times New Roman" w:eastAsiaTheme="minorHAnsi"/>
                <w:sz w:val="20"/>
                <w:szCs w:val="20"/>
              </w:rPr>
              <w:t>Asystent</w:t>
            </w:r>
          </w:p>
        </w:tc>
        <w:tc>
          <w:tcPr>
            <w:tcW w:w="1672" w:type="pct"/>
            <w:tcMar/>
            <w:vAlign w:val="center"/>
          </w:tcPr>
          <w:p w:rsidRPr="0011155D" w:rsidR="0011155D" w:rsidP="00687C04" w:rsidRDefault="0011155D" w14:paraId="590AE29F" w14:textId="712AA4E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5B800FF2">
              <w:rPr>
                <w:rFonts w:ascii="Times New Roman" w:hAnsi="Times New Roman" w:eastAsia="Palatino Linotype"/>
                <w:sz w:val="20"/>
                <w:szCs w:val="20"/>
              </w:rPr>
              <w:t>1</w:t>
            </w:r>
            <w:r w:rsidRPr="4F062333" w:rsidR="13785249">
              <w:rPr>
                <w:rFonts w:ascii="Times New Roman" w:hAnsi="Times New Roman" w:eastAsia="Palatino Linotype"/>
                <w:sz w:val="20"/>
                <w:szCs w:val="20"/>
              </w:rPr>
              <w:t>2</w:t>
            </w:r>
          </w:p>
        </w:tc>
        <w:tc>
          <w:tcPr>
            <w:tcW w:w="1745" w:type="pct"/>
            <w:tcMar/>
            <w:vAlign w:val="center"/>
          </w:tcPr>
          <w:p w:rsidRPr="0011155D" w:rsidR="0011155D" w:rsidP="00687C04" w:rsidRDefault="0011155D" w14:paraId="11A4D311" w14:textId="2BA8D90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1EDFD140">
              <w:rPr>
                <w:rFonts w:ascii="Times New Roman" w:hAnsi="Times New Roman" w:eastAsia="Palatino Linotype"/>
                <w:sz w:val="20"/>
                <w:szCs w:val="20"/>
              </w:rPr>
              <w:t>12</w:t>
            </w:r>
          </w:p>
        </w:tc>
      </w:tr>
      <w:tr w:rsidRPr="0011155D" w:rsidR="0011155D" w:rsidTr="4F062333" w14:paraId="1BD4A70B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2D8D4010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 w:rsidRPr="0011155D">
              <w:rPr>
                <w:rFonts w:ascii="Times New Roman" w:hAnsi="Times New Roman" w:eastAsiaTheme="minorHAnsi"/>
                <w:sz w:val="20"/>
                <w:szCs w:val="20"/>
              </w:rPr>
              <w:t>Lektor</w:t>
            </w:r>
          </w:p>
        </w:tc>
        <w:tc>
          <w:tcPr>
            <w:tcW w:w="1672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1EDF60C9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</w:p>
        </w:tc>
        <w:tc>
          <w:tcPr>
            <w:tcW w:w="1745" w:type="pct"/>
            <w:tcMar/>
            <w:vAlign w:val="center"/>
          </w:tcPr>
          <w:p w:rsidRPr="0011155D" w:rsidR="0011155D" w:rsidP="00687C04" w:rsidRDefault="0011155D" w14:paraId="7A90B09E" w14:noSpellErr="1" w14:textId="3CC44AD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</w:p>
        </w:tc>
      </w:tr>
      <w:tr w:rsidRPr="0011155D" w:rsidR="0011155D" w:rsidTr="4F062333" w14:paraId="1B084020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48191E66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 w:rsidRPr="0011155D">
              <w:rPr>
                <w:rFonts w:ascii="Times New Roman" w:hAnsi="Times New Roman" w:eastAsiaTheme="minorHAnsi"/>
                <w:sz w:val="20"/>
                <w:szCs w:val="20"/>
              </w:rPr>
              <w:t>Instruktor</w:t>
            </w:r>
          </w:p>
        </w:tc>
        <w:tc>
          <w:tcPr>
            <w:tcW w:w="1672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06AFFAE3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</w:p>
        </w:tc>
        <w:tc>
          <w:tcPr>
            <w:tcW w:w="1745" w:type="pct"/>
            <w:tcMar/>
            <w:vAlign w:val="center"/>
          </w:tcPr>
          <w:p w:rsidRPr="0011155D" w:rsidR="0011155D" w:rsidP="00687C04" w:rsidRDefault="0011155D" w14:paraId="2838830D" w14:textId="24A51AA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5D97B172">
              <w:rPr>
                <w:rFonts w:ascii="Times New Roman" w:hAnsi="Times New Roman" w:eastAsia="Palatino Linotype"/>
                <w:sz w:val="20"/>
                <w:szCs w:val="20"/>
              </w:rPr>
              <w:t>1</w:t>
            </w:r>
          </w:p>
        </w:tc>
      </w:tr>
      <w:tr w:rsidRPr="0011155D" w:rsidR="0011155D" w:rsidTr="4F062333" w14:paraId="0D0E99BB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2690BA28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Theme="minorHAnsi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eastAsia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672" w:type="pct"/>
            <w:tcMar/>
            <w:vAlign w:val="center"/>
          </w:tcPr>
          <w:p w:rsidRPr="0011155D" w:rsidR="0011155D" w:rsidP="00687C04" w:rsidRDefault="0011155D" w14:paraId="194262A8" w14:textId="2CF95B46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b w:val="1"/>
                <w:bCs w:val="1"/>
                <w:sz w:val="20"/>
                <w:szCs w:val="20"/>
              </w:rPr>
            </w:pPr>
            <w:r w:rsidRPr="4F062333" w:rsidR="008D99C3">
              <w:rPr>
                <w:rFonts w:ascii="Times New Roman" w:hAnsi="Times New Roman" w:eastAsia="Palatino Linotype"/>
                <w:b w:val="1"/>
                <w:bCs w:val="1"/>
                <w:sz w:val="20"/>
                <w:szCs w:val="20"/>
              </w:rPr>
              <w:t>148</w:t>
            </w:r>
          </w:p>
        </w:tc>
        <w:tc>
          <w:tcPr>
            <w:tcW w:w="1745" w:type="pct"/>
            <w:tcMar/>
            <w:vAlign w:val="center"/>
          </w:tcPr>
          <w:p w:rsidRPr="0011155D" w:rsidR="0011155D" w:rsidP="00687C04" w:rsidRDefault="0011155D" w14:paraId="22CF7D82" w14:textId="19E3000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="Palatino Linotype"/>
                <w:b w:val="1"/>
                <w:bCs w:val="1"/>
                <w:sz w:val="20"/>
                <w:szCs w:val="20"/>
              </w:rPr>
            </w:pPr>
            <w:r w:rsidRPr="4F062333" w:rsidR="008D99C3">
              <w:rPr>
                <w:rFonts w:ascii="Times New Roman" w:hAnsi="Times New Roman" w:eastAsia="Palatino Linotype"/>
                <w:b w:val="1"/>
                <w:bCs w:val="1"/>
                <w:sz w:val="20"/>
                <w:szCs w:val="20"/>
              </w:rPr>
              <w:t>41</w:t>
            </w:r>
          </w:p>
        </w:tc>
      </w:tr>
      <w:tr w:rsidRPr="0011155D" w:rsidR="0011155D" w:rsidTr="4F062333" w14:paraId="50634797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042C4293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 w:rsidRPr="0011155D">
              <w:rPr>
                <w:rFonts w:ascii="Times New Roman" w:hAnsi="Times New Roman" w:eastAsiaTheme="minorHAnsi"/>
                <w:sz w:val="20"/>
                <w:szCs w:val="20"/>
              </w:rPr>
              <w:t>Pracownicy nieetatowi</w:t>
            </w:r>
          </w:p>
        </w:tc>
        <w:tc>
          <w:tcPr>
            <w:tcW w:w="3417" w:type="pct"/>
            <w:gridSpan w:val="2"/>
            <w:tcMar/>
            <w:vAlign w:val="center"/>
          </w:tcPr>
          <w:p w:rsidRPr="0011155D" w:rsidR="0011155D" w:rsidP="4F062333" w:rsidRDefault="0011155D" w14:paraId="3102B840" w14:textId="433F69F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7261D7CB">
              <w:rPr>
                <w:rFonts w:ascii="Times New Roman" w:hAnsi="Times New Roman" w:eastAsia="Palatino Linotype"/>
                <w:sz w:val="20"/>
                <w:szCs w:val="20"/>
              </w:rPr>
              <w:t>3</w:t>
            </w:r>
            <w:r w:rsidRPr="4F062333" w:rsidR="3114F617">
              <w:rPr>
                <w:rFonts w:ascii="Times New Roman" w:hAnsi="Times New Roman" w:eastAsia="Palatino Linotype"/>
                <w:sz w:val="20"/>
                <w:szCs w:val="20"/>
              </w:rPr>
              <w:t>9</w:t>
            </w:r>
          </w:p>
        </w:tc>
      </w:tr>
      <w:tr w:rsidRPr="0011155D" w:rsidR="0011155D" w:rsidTr="4F062333" w14:paraId="0F98492C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0BBE4B9E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 w:rsidRPr="0011155D">
              <w:rPr>
                <w:rFonts w:ascii="Times New Roman" w:hAnsi="Times New Roman" w:eastAsiaTheme="minorHAnsi"/>
                <w:sz w:val="20"/>
                <w:szCs w:val="20"/>
              </w:rPr>
              <w:t>Doktoranci</w:t>
            </w:r>
          </w:p>
        </w:tc>
        <w:tc>
          <w:tcPr>
            <w:tcW w:w="3417" w:type="pct"/>
            <w:gridSpan w:val="2"/>
            <w:tcMar/>
            <w:vAlign w:val="center"/>
          </w:tcPr>
          <w:p w:rsidRPr="0011155D" w:rsidR="0011155D" w:rsidP="4F062333" w:rsidRDefault="0011155D" w14:paraId="1E67A51F" w14:textId="270FD58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eastAsia="Palatino Linotype"/>
                <w:sz w:val="20"/>
                <w:szCs w:val="20"/>
              </w:rPr>
            </w:pPr>
          </w:p>
          <w:p w:rsidRPr="0011155D" w:rsidR="0011155D" w:rsidP="4F062333" w:rsidRDefault="0011155D" w14:paraId="09365CFF" w14:textId="5AFAB91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eastAsia="Palatino Linotype"/>
                <w:sz w:val="20"/>
                <w:szCs w:val="20"/>
              </w:rPr>
            </w:pPr>
            <w:r w:rsidRPr="4F062333" w:rsidR="4289D79F">
              <w:rPr>
                <w:rFonts w:ascii="Times New Roman" w:hAnsi="Times New Roman" w:eastAsia="Palatino Linotype"/>
                <w:sz w:val="20"/>
                <w:szCs w:val="20"/>
              </w:rPr>
              <w:t>44</w:t>
            </w:r>
          </w:p>
          <w:p w:rsidRPr="0011155D" w:rsidR="0011155D" w:rsidP="4F062333" w:rsidRDefault="0011155D" w14:paraId="059A6819" w14:textId="77777777" w14:noSpellErr="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eastAsia="Palatino Linotype"/>
                <w:b w:val="1"/>
                <w:bCs w:val="1"/>
                <w:sz w:val="20"/>
                <w:szCs w:val="20"/>
              </w:rPr>
            </w:pPr>
            <w:r w:rsidRPr="4F062333" w:rsidR="0011155D">
              <w:rPr>
                <w:rFonts w:ascii="Times New Roman" w:hAnsi="Times New Roman" w:eastAsia="Palatino Linotype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Pr="0011155D" w:rsidR="0011155D" w:rsidTr="4F062333" w14:paraId="0CE42FF0" w14:textId="77777777">
        <w:tc>
          <w:tcPr>
            <w:tcW w:w="1583" w:type="pct"/>
            <w:shd w:val="clear" w:color="auto" w:fill="D9D9D9" w:themeFill="background1" w:themeFillShade="D9"/>
            <w:tcMar/>
            <w:vAlign w:val="center"/>
          </w:tcPr>
          <w:p w:rsidRPr="0011155D" w:rsidR="0011155D" w:rsidP="00687C04" w:rsidRDefault="0011155D" w14:paraId="603BD867" w14:textId="77777777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eastAsiaTheme="minorHAnsi"/>
                <w:sz w:val="20"/>
                <w:szCs w:val="20"/>
              </w:rPr>
            </w:pPr>
            <w:r w:rsidRPr="0011155D">
              <w:rPr>
                <w:rFonts w:ascii="Times New Roman" w:hAnsi="Times New Roman" w:eastAsiaTheme="minorHAnsi"/>
                <w:sz w:val="20"/>
                <w:szCs w:val="20"/>
              </w:rPr>
              <w:t xml:space="preserve">SUMA </w:t>
            </w:r>
          </w:p>
        </w:tc>
        <w:tc>
          <w:tcPr>
            <w:tcW w:w="3417" w:type="pct"/>
            <w:gridSpan w:val="2"/>
            <w:tcMar/>
            <w:vAlign w:val="center"/>
          </w:tcPr>
          <w:p w:rsidRPr="0011155D" w:rsidR="0011155D" w:rsidP="4F062333" w:rsidRDefault="0011155D" w14:paraId="72E9C2D4" w14:textId="764E3D3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eastAsia="Palatino Linotype"/>
                <w:b w:val="1"/>
                <w:bCs w:val="1"/>
                <w:sz w:val="20"/>
                <w:szCs w:val="20"/>
              </w:rPr>
            </w:pPr>
            <w:r w:rsidRPr="4F062333" w:rsidR="598EDF6F">
              <w:rPr>
                <w:rFonts w:ascii="Times New Roman" w:hAnsi="Times New Roman" w:eastAsia="Palatino Linotype"/>
                <w:b w:val="1"/>
                <w:bCs w:val="1"/>
                <w:sz w:val="20"/>
                <w:szCs w:val="20"/>
              </w:rPr>
              <w:t>272</w:t>
            </w:r>
          </w:p>
        </w:tc>
      </w:tr>
    </w:tbl>
    <w:p w:rsidRPr="00517245" w:rsidR="0011155D" w:rsidP="0011155D" w:rsidRDefault="0011155D" w14:paraId="2DE1DA6F" w14:textId="77777777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eastAsia="Times New Roman"/>
          <w:sz w:val="24"/>
          <w:szCs w:val="24"/>
        </w:rPr>
      </w:pPr>
    </w:p>
    <w:p w:rsidR="00517245" w:rsidRDefault="00517245" w14:paraId="7B8F01BF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Pr="0011155D" w:rsidR="00680D13" w:rsidP="0011155D" w:rsidRDefault="00A43B95" w14:paraId="1241CC65" w14:textId="0E6609B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155D">
        <w:rPr>
          <w:rFonts w:ascii="Times New Roman" w:hAnsi="Times New Roman"/>
          <w:b/>
          <w:bCs/>
          <w:sz w:val="24"/>
          <w:szCs w:val="24"/>
        </w:rPr>
        <w:lastRenderedPageBreak/>
        <w:t xml:space="preserve">ANALIZA WYNIKÓW SESJI ORAZ </w:t>
      </w:r>
      <w:r w:rsidRPr="0011155D" w:rsidR="00962EE7">
        <w:rPr>
          <w:rFonts w:ascii="Times New Roman" w:hAnsi="Times New Roman"/>
          <w:b/>
          <w:bCs/>
          <w:sz w:val="24"/>
          <w:szCs w:val="24"/>
        </w:rPr>
        <w:t xml:space="preserve">PROCESU </w:t>
      </w:r>
      <w:r w:rsidRPr="0011155D">
        <w:rPr>
          <w:rFonts w:ascii="Times New Roman" w:hAnsi="Times New Roman"/>
          <w:b/>
          <w:bCs/>
          <w:sz w:val="24"/>
          <w:szCs w:val="24"/>
        </w:rPr>
        <w:t>DYPLOMOWANIA</w:t>
      </w:r>
    </w:p>
    <w:p w:rsidR="0011155D" w:rsidP="0011155D" w:rsidRDefault="0011155D" w14:paraId="776E03B5" w14:textId="777777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517245" w:rsidR="00517245" w:rsidP="00517245" w:rsidRDefault="00517245" w14:paraId="1EC3F7EB" w14:textId="166DF9D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17245">
        <w:rPr>
          <w:rFonts w:ascii="Times New Roman" w:hAnsi="Times New Roman"/>
          <w:b/>
          <w:bCs/>
          <w:color w:val="000000" w:themeColor="text1"/>
          <w:sz w:val="24"/>
          <w:szCs w:val="24"/>
        </w:rPr>
        <w:t>Wyniki sesji</w:t>
      </w:r>
    </w:p>
    <w:p w:rsidRPr="0011155D" w:rsidR="0011155D" w:rsidP="0011155D" w:rsidRDefault="0011155D" w14:paraId="78AF564C" w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 raz szósty na poziomie ogólnouczelnianym została przeprowadzona analiza wyników obu sesji egzaminacyjnych oraz procesu dyplomowania. </w:t>
      </w:r>
    </w:p>
    <w:p w:rsidRPr="0011155D" w:rsidR="0011155D" w:rsidP="0011155D" w:rsidRDefault="0011155D" w14:paraId="798E8F60" w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 porównaniu do roku akademickiego 2021/2022 ogólna liczba realizowanych modułów wzrosła o 218. Szczegółowe zestawienie obejmujące rozkład modułów na studiach stacjonarnych i niestacjonarnych w roku 2022/2023 ujęto w Tab.6.</w:t>
      </w:r>
    </w:p>
    <w:p w:rsidR="0011155D" w:rsidP="0011155D" w:rsidRDefault="0011155D" w14:paraId="40CD09AB" w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>Ogólna liczba modułów realizowanych w roku 2022/2023 wyniosła 17682. Łączna liczba modułów poddawanych analizie (bez modułów na studiach doktoranckich, zajęciach podyplomowych, kursach itp.) wyniosła</w:t>
      </w:r>
      <w:r w:rsidRPr="0011155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17125</w:t>
      </w:r>
      <w:r w:rsidRPr="0011155D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>, z czego</w:t>
      </w:r>
      <w:r w:rsidRPr="0011155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14604 </w:t>
      </w:r>
      <w:r w:rsidRPr="0011155D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>zrealizowano na studiach stacjonarnych a </w:t>
      </w:r>
      <w:r w:rsidRPr="0011155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2521</w:t>
      </w:r>
      <w:r w:rsidRPr="0011155D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  <w:t xml:space="preserve"> na studiach niestacjonarnych.</w:t>
      </w:r>
      <w:r w:rsidRPr="0011155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11155D" w:rsidP="0011155D" w:rsidRDefault="0011155D" w14:paraId="1E0EB846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Pr="0011155D" w:rsidR="0011155D" w:rsidP="0011155D" w:rsidRDefault="0011155D" w14:paraId="66D14807" w14:textId="25F0B2F9"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1155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Tab.6.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7"/>
        <w:gridCol w:w="1883"/>
        <w:gridCol w:w="2074"/>
        <w:gridCol w:w="2188"/>
      </w:tblGrid>
      <w:tr w:rsidRPr="0011155D" w:rsidR="0011155D" w:rsidTr="00687C04" w14:paraId="37A132B0" w14:textId="77777777">
        <w:trPr>
          <w:trHeight w:val="889"/>
        </w:trPr>
        <w:tc>
          <w:tcPr>
            <w:tcW w:w="3114" w:type="dxa"/>
          </w:tcPr>
          <w:p w:rsidRPr="0011155D" w:rsidR="0011155D" w:rsidP="0011155D" w:rsidRDefault="0011155D" w14:paraId="05C51C9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Moduły </w:t>
            </w:r>
          </w:p>
        </w:tc>
        <w:tc>
          <w:tcPr>
            <w:tcW w:w="1984" w:type="dxa"/>
          </w:tcPr>
          <w:p w:rsidRPr="0011155D" w:rsidR="0011155D" w:rsidP="0011155D" w:rsidRDefault="0011155D" w14:paraId="75E7BEB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2165" w:type="dxa"/>
          </w:tcPr>
          <w:p w:rsidRPr="0011155D" w:rsidR="0011155D" w:rsidP="0011155D" w:rsidRDefault="0011155D" w14:paraId="568BC90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Pr="0011155D" w:rsidR="0011155D" w:rsidP="0011155D" w:rsidRDefault="0011155D" w14:paraId="4BAC9A1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Pr="0011155D" w:rsidR="0011155D" w:rsidTr="00687C04" w14:paraId="51CD0D02" w14:textId="77777777">
        <w:trPr>
          <w:trHeight w:val="439"/>
        </w:trPr>
        <w:tc>
          <w:tcPr>
            <w:tcW w:w="3114" w:type="dxa"/>
          </w:tcPr>
          <w:p w:rsidRPr="0011155D" w:rsidR="0011155D" w:rsidP="0011155D" w:rsidRDefault="0011155D" w14:paraId="3E224FD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I stopnia</w:t>
            </w:r>
          </w:p>
        </w:tc>
        <w:tc>
          <w:tcPr>
            <w:tcW w:w="1984" w:type="dxa"/>
          </w:tcPr>
          <w:p w:rsidRPr="0011155D" w:rsidR="0011155D" w:rsidP="0011155D" w:rsidRDefault="0011155D" w14:paraId="455DFD5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8187</w:t>
            </w:r>
          </w:p>
        </w:tc>
        <w:tc>
          <w:tcPr>
            <w:tcW w:w="2165" w:type="dxa"/>
          </w:tcPr>
          <w:p w:rsidRPr="0011155D" w:rsidR="0011155D" w:rsidP="0011155D" w:rsidRDefault="0011155D" w14:paraId="41CDC83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Pr="0011155D" w:rsidR="0011155D" w:rsidP="0011155D" w:rsidRDefault="0011155D" w14:paraId="0E86508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9118</w:t>
            </w:r>
          </w:p>
        </w:tc>
      </w:tr>
      <w:tr w:rsidRPr="0011155D" w:rsidR="0011155D" w:rsidTr="00687C04" w14:paraId="1B91BE63" w14:textId="77777777">
        <w:trPr>
          <w:trHeight w:val="439"/>
        </w:trPr>
        <w:tc>
          <w:tcPr>
            <w:tcW w:w="3114" w:type="dxa"/>
          </w:tcPr>
          <w:p w:rsidRPr="0011155D" w:rsidR="0011155D" w:rsidP="0011155D" w:rsidRDefault="0011155D" w14:paraId="4278F31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II stopnia</w:t>
            </w:r>
          </w:p>
        </w:tc>
        <w:tc>
          <w:tcPr>
            <w:tcW w:w="1984" w:type="dxa"/>
          </w:tcPr>
          <w:p w:rsidRPr="0011155D" w:rsidR="0011155D" w:rsidP="0011155D" w:rsidRDefault="0011155D" w14:paraId="3513CD9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2165" w:type="dxa"/>
          </w:tcPr>
          <w:p w:rsidRPr="0011155D" w:rsidR="0011155D" w:rsidP="0011155D" w:rsidRDefault="0011155D" w14:paraId="53C3182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Pr="0011155D" w:rsidR="0011155D" w:rsidP="0011155D" w:rsidRDefault="0011155D" w14:paraId="7E83A65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4717</w:t>
            </w:r>
          </w:p>
        </w:tc>
      </w:tr>
      <w:tr w:rsidRPr="0011155D" w:rsidR="0011155D" w:rsidTr="00687C04" w14:paraId="07F40E90" w14:textId="77777777">
        <w:trPr>
          <w:trHeight w:val="449"/>
        </w:trPr>
        <w:tc>
          <w:tcPr>
            <w:tcW w:w="3114" w:type="dxa"/>
          </w:tcPr>
          <w:p w:rsidRPr="0011155D" w:rsidR="0011155D" w:rsidP="0011155D" w:rsidRDefault="0011155D" w14:paraId="4141A0D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Jednolite magisterskie</w:t>
            </w:r>
          </w:p>
        </w:tc>
        <w:tc>
          <w:tcPr>
            <w:tcW w:w="1984" w:type="dxa"/>
          </w:tcPr>
          <w:p w:rsidRPr="0011155D" w:rsidR="0011155D" w:rsidP="0011155D" w:rsidRDefault="0011155D" w14:paraId="0DC395B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2165" w:type="dxa"/>
          </w:tcPr>
          <w:p w:rsidRPr="0011155D" w:rsidR="0011155D" w:rsidP="0011155D" w:rsidRDefault="0011155D" w14:paraId="2353903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Pr="0011155D" w:rsidR="0011155D" w:rsidP="0011155D" w:rsidRDefault="0011155D" w14:paraId="57D0FFD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2776</w:t>
            </w:r>
          </w:p>
        </w:tc>
      </w:tr>
      <w:tr w:rsidRPr="0011155D" w:rsidR="0011155D" w:rsidTr="00687C04" w14:paraId="5F18C525" w14:textId="77777777">
        <w:trPr>
          <w:trHeight w:val="439"/>
        </w:trPr>
        <w:tc>
          <w:tcPr>
            <w:tcW w:w="3114" w:type="dxa"/>
          </w:tcPr>
          <w:p w:rsidRPr="0011155D" w:rsidR="0011155D" w:rsidP="0011155D" w:rsidRDefault="0011155D" w14:paraId="38DF5EE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Inne (lektoraty, WF)</w:t>
            </w:r>
          </w:p>
        </w:tc>
        <w:tc>
          <w:tcPr>
            <w:tcW w:w="1984" w:type="dxa"/>
          </w:tcPr>
          <w:p w:rsidRPr="0011155D" w:rsidR="0011155D" w:rsidP="0011155D" w:rsidRDefault="0011155D" w14:paraId="6C48FE1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Cs/>
                <w:sz w:val="20"/>
                <w:szCs w:val="20"/>
              </w:rPr>
              <w:t>440</w:t>
            </w:r>
          </w:p>
        </w:tc>
        <w:tc>
          <w:tcPr>
            <w:tcW w:w="2165" w:type="dxa"/>
          </w:tcPr>
          <w:p w:rsidRPr="0011155D" w:rsidR="0011155D" w:rsidP="0011155D" w:rsidRDefault="0011155D" w14:paraId="474986D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Pr="0011155D" w:rsidR="0011155D" w:rsidP="0011155D" w:rsidRDefault="0011155D" w14:paraId="6AC6939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</w:tr>
      <w:tr w:rsidRPr="0011155D" w:rsidR="0011155D" w:rsidTr="00687C04" w14:paraId="132FBA2E" w14:textId="77777777">
        <w:trPr>
          <w:trHeight w:val="439"/>
        </w:trPr>
        <w:tc>
          <w:tcPr>
            <w:tcW w:w="3114" w:type="dxa"/>
          </w:tcPr>
          <w:p w:rsidRPr="0011155D" w:rsidR="0011155D" w:rsidP="0011155D" w:rsidRDefault="0011155D" w14:paraId="54500CC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:rsidRPr="0011155D" w:rsidR="0011155D" w:rsidP="0011155D" w:rsidRDefault="0011155D" w14:paraId="1E06530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14604*</w:t>
            </w:r>
          </w:p>
        </w:tc>
        <w:tc>
          <w:tcPr>
            <w:tcW w:w="2165" w:type="dxa"/>
          </w:tcPr>
          <w:p w:rsidRPr="0011155D" w:rsidR="0011155D" w:rsidP="0011155D" w:rsidRDefault="0011155D" w14:paraId="73AC2A9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b/>
                <w:sz w:val="20"/>
                <w:szCs w:val="20"/>
              </w:rPr>
              <w:t>2521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Pr="0011155D" w:rsidR="0011155D" w:rsidP="0011155D" w:rsidRDefault="0011155D" w14:paraId="2EEB47D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17125</w:t>
            </w:r>
          </w:p>
        </w:tc>
      </w:tr>
      <w:tr w:rsidRPr="0011155D" w:rsidR="0011155D" w:rsidTr="00687C04" w14:paraId="6F75C39D" w14:textId="77777777">
        <w:trPr>
          <w:trHeight w:val="197"/>
        </w:trPr>
        <w:tc>
          <w:tcPr>
            <w:tcW w:w="9660" w:type="dxa"/>
            <w:gridSpan w:val="4"/>
          </w:tcPr>
          <w:p w:rsidRPr="0011155D" w:rsidR="0011155D" w:rsidP="0011155D" w:rsidRDefault="0011155D" w14:paraId="29063D9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* - w liczbę włączono 170 modułów bez oznaczenia trybu studiów</w:t>
            </w:r>
          </w:p>
        </w:tc>
      </w:tr>
      <w:tr w:rsidRPr="0011155D" w:rsidR="0011155D" w:rsidTr="00687C04" w14:paraId="5752666D" w14:textId="77777777">
        <w:trPr>
          <w:trHeight w:val="811"/>
        </w:trPr>
        <w:tc>
          <w:tcPr>
            <w:tcW w:w="3114" w:type="dxa"/>
          </w:tcPr>
          <w:p w:rsidRPr="0011155D" w:rsidR="0011155D" w:rsidP="0011155D" w:rsidRDefault="0011155D" w14:paraId="13DE3E3F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 xml:space="preserve">Inne moduły </w:t>
            </w:r>
          </w:p>
          <w:p w:rsidRPr="0011155D" w:rsidR="0011155D" w:rsidP="0011155D" w:rsidRDefault="0011155D" w14:paraId="5006B30E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(w tym  realizowane w szkołach doktorskich, na  studiach doktoranckich, podyplomowych, kursach)</w:t>
            </w:r>
          </w:p>
        </w:tc>
        <w:tc>
          <w:tcPr>
            <w:tcW w:w="1984" w:type="dxa"/>
          </w:tcPr>
          <w:p w:rsidRPr="0011155D" w:rsidR="0011155D" w:rsidP="0011155D" w:rsidRDefault="0011155D" w14:paraId="2C0FF47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165" w:type="dxa"/>
          </w:tcPr>
          <w:p w:rsidRPr="0011155D" w:rsidR="0011155D" w:rsidP="0011155D" w:rsidRDefault="0011155D" w14:paraId="7B21F43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Pr="0011155D" w:rsidR="0011155D" w:rsidP="0011155D" w:rsidRDefault="0011155D" w14:paraId="60A28EF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5D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</w:tr>
    </w:tbl>
    <w:p w:rsidRPr="0011155D" w:rsidR="0011155D" w:rsidP="0011155D" w:rsidRDefault="0011155D" w14:paraId="0F304A41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1155D" w:rsidR="0011155D" w:rsidP="0011155D" w:rsidRDefault="0011155D" w14:paraId="69678175" w14:textId="4A99D930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Liczba przeprowadzonych weryfikacji efektów uczenia się wynosiła 500644. 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Liczba ocen wystawionych w pierwszym terminie 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wynosiła 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>479956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95,87% 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wszystkich ocen)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[Rys.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1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], podczas gdy w 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>drugim terminie – 20688 (4,13%)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 [Rys.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]. </w:t>
      </w:r>
    </w:p>
    <w:p w:rsidRPr="0011155D" w:rsidR="0011155D" w:rsidP="0011155D" w:rsidRDefault="0011155D" w14:paraId="42DE633C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</w:p>
    <w:p w:rsidRPr="0011155D" w:rsidR="0011155D" w:rsidP="0011155D" w:rsidRDefault="0011155D" w14:paraId="6891C6B1" w14:textId="12F18D50">
      <w:pPr>
        <w:keepNext/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11155D">
        <w:rPr>
          <w:rFonts w:ascii="Times New Roman" w:hAnsi="Times New Roman" w:eastAsia="Times New Roman" w:cs="Times New Roman"/>
          <w:i/>
          <w:iCs/>
          <w:sz w:val="20"/>
          <w:szCs w:val="20"/>
        </w:rPr>
        <w:t>Rys.</w:t>
      </w:r>
      <w:r>
        <w:rPr>
          <w:rFonts w:ascii="Times New Roman" w:hAnsi="Times New Roman" w:eastAsia="Times New Roman" w:cs="Times New Roman"/>
          <w:i/>
          <w:iCs/>
          <w:sz w:val="20"/>
          <w:szCs w:val="20"/>
        </w:rPr>
        <w:t>1</w:t>
      </w:r>
      <w:r w:rsidRPr="0011155D">
        <w:rPr>
          <w:rFonts w:ascii="Times New Roman" w:hAnsi="Times New Roman" w:eastAsia="Times New Roman" w:cs="Times New Roman"/>
          <w:i/>
          <w:iCs/>
          <w:sz w:val="20"/>
          <w:szCs w:val="20"/>
        </w:rPr>
        <w:t>.</w:t>
      </w:r>
      <w:r w:rsidRPr="0011155D">
        <w:rPr>
          <w:rFonts w:ascii="Times New Roman" w:hAnsi="Times New Roman" w:eastAsia="Times New Roman" w:cs="Times New Roman"/>
          <w:sz w:val="20"/>
          <w:szCs w:val="20"/>
        </w:rPr>
        <w:t xml:space="preserve"> Porównanie wyników ocen wystawionych w pierwszym terminie w ostatnich latach</w:t>
      </w:r>
    </w:p>
    <w:p w:rsidRPr="0011155D" w:rsidR="0011155D" w:rsidP="0011155D" w:rsidRDefault="0011155D" w14:paraId="3B806299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noProof/>
          <w:sz w:val="24"/>
          <w:szCs w:val="24"/>
          <w:highlight w:val="yellow"/>
          <w:lang w:eastAsia="pl-PL"/>
        </w:rPr>
        <w:drawing>
          <wp:inline distT="0" distB="0" distL="0" distR="0" wp14:anchorId="3E4A98C7" wp14:editId="4ED3ED46">
            <wp:extent cx="4699000" cy="2743200"/>
            <wp:effectExtent l="0" t="0" r="6350" b="0"/>
            <wp:docPr id="2144668095" name="Wykres 21446680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Pr="0011155D" w:rsidR="0011155D" w:rsidP="0011155D" w:rsidRDefault="0011155D" w14:paraId="47534972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</w:p>
    <w:p w:rsidRPr="0011155D" w:rsidR="0011155D" w:rsidP="0011155D" w:rsidRDefault="0011155D" w14:paraId="6135674A" w14:textId="047BAA80">
      <w:pPr>
        <w:keepNext/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11155D">
        <w:rPr>
          <w:rFonts w:ascii="Times New Roman" w:hAnsi="Times New Roman" w:eastAsia="Times New Roman" w:cs="Times New Roman"/>
          <w:i/>
          <w:iCs/>
          <w:sz w:val="20"/>
          <w:szCs w:val="20"/>
        </w:rPr>
        <w:t>Rys.</w:t>
      </w:r>
      <w:r>
        <w:rPr>
          <w:rFonts w:ascii="Times New Roman" w:hAnsi="Times New Roman" w:eastAsia="Times New Roman" w:cs="Times New Roman"/>
          <w:i/>
          <w:iCs/>
          <w:sz w:val="20"/>
          <w:szCs w:val="20"/>
        </w:rPr>
        <w:t>2</w:t>
      </w:r>
      <w:r w:rsidRPr="0011155D">
        <w:rPr>
          <w:rFonts w:ascii="Times New Roman" w:hAnsi="Times New Roman" w:eastAsia="Times New Roman" w:cs="Times New Roman"/>
          <w:i/>
          <w:iCs/>
          <w:sz w:val="20"/>
          <w:szCs w:val="20"/>
        </w:rPr>
        <w:t>.</w:t>
      </w:r>
      <w:r w:rsidRPr="0011155D">
        <w:rPr>
          <w:rFonts w:ascii="Times New Roman" w:hAnsi="Times New Roman" w:eastAsia="Times New Roman" w:cs="Times New Roman"/>
          <w:sz w:val="20"/>
          <w:szCs w:val="20"/>
        </w:rPr>
        <w:t xml:space="preserve"> Porównanie wyników ocen wystawionych w drugim terminie w ostatnich latach</w:t>
      </w:r>
    </w:p>
    <w:p w:rsidRPr="0011155D" w:rsidR="0011155D" w:rsidP="0011155D" w:rsidRDefault="0011155D" w14:paraId="58C869A8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noProof/>
          <w:sz w:val="24"/>
          <w:szCs w:val="24"/>
          <w:highlight w:val="yellow"/>
          <w:lang w:eastAsia="pl-PL"/>
        </w:rPr>
        <w:drawing>
          <wp:inline distT="0" distB="0" distL="0" distR="0" wp14:anchorId="33426E3F" wp14:editId="168C3C3C">
            <wp:extent cx="4699000" cy="2743200"/>
            <wp:effectExtent l="0" t="0" r="63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Pr="0011155D" w:rsidR="0011155D" w:rsidP="0011155D" w:rsidRDefault="0011155D" w14:paraId="1B8A41D4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</w:p>
    <w:p w:rsidRPr="0011155D" w:rsidR="0011155D" w:rsidP="0011155D" w:rsidRDefault="0011155D" w14:paraId="220C15CB" w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sz w:val="24"/>
          <w:szCs w:val="24"/>
        </w:rPr>
        <w:t>Po wyraźnym spadku liczby ocen wystawianych w II terminie w  roku akademickim 2020/2021 (co mogło być efektem weryfikacji realizowanej w trybie zdalnym), od tego momentu odnotowuje się wzrost tej wartości, z czego w ostatnim roku wzrost ten był wyraźny.</w:t>
      </w:r>
    </w:p>
    <w:p w:rsidRPr="0011155D" w:rsidR="0011155D" w:rsidP="0011155D" w:rsidRDefault="0011155D" w14:paraId="44ACD3EE" w14:textId="0A9DF424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W podobny sposób można interpretować wysokość pozytywnych wyników ogólnego 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>poziomu zdawalności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 w pierwszym terminie. Ta w analizowanym okresie wyniosła 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94,40%. 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lastRenderedPageBreak/>
        <w:t>Wartość ta po trzech latach trendu wzrostowego zanotowała znaczący spadek [Rys.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3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]. Równocześnie poziom zdawalności z wynikiem pozytywnym w II terminie utrzymuje się na</w:t>
      </w:r>
      <w:r w:rsidR="0029792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poziomie zbliżonym do tego z poprzednich lat i wynosi 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>75,95%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 .  </w:t>
      </w:r>
    </w:p>
    <w:p w:rsidRPr="0011155D" w:rsidR="0011155D" w:rsidP="0011155D" w:rsidRDefault="0011155D" w14:paraId="354B1A5E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1155D" w:rsidR="0011155D" w:rsidP="0011155D" w:rsidRDefault="0011155D" w14:paraId="1D3F57E0" w14:textId="02832AEB">
      <w:pPr>
        <w:keepNext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155D">
        <w:rPr>
          <w:rFonts w:ascii="Times New Roman" w:hAnsi="Times New Roman" w:cs="Times New Roman"/>
          <w:i/>
          <w:iCs/>
          <w:sz w:val="20"/>
          <w:szCs w:val="20"/>
        </w:rPr>
        <w:t xml:space="preserve">Rys.3 </w:t>
      </w:r>
      <w:r w:rsidRPr="0011155D">
        <w:rPr>
          <w:rFonts w:ascii="Times New Roman" w:hAnsi="Times New Roman" w:cs="Times New Roman"/>
          <w:sz w:val="20"/>
          <w:szCs w:val="20"/>
        </w:rPr>
        <w:t>Porównanie poziomu zdawalności z pozytywnym wynikiem w I oraz w II terminie</w:t>
      </w:r>
    </w:p>
    <w:p w:rsidRPr="0011155D" w:rsidR="0011155D" w:rsidP="0011155D" w:rsidRDefault="0011155D" w14:paraId="7D916E47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EF7901" wp14:editId="2A01DF7A">
            <wp:extent cx="5977467" cy="2743200"/>
            <wp:effectExtent l="0" t="0" r="23495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Pr="0011155D" w:rsidR="0011155D" w:rsidP="0011155D" w:rsidRDefault="0011155D" w14:paraId="4F40822B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11155D" w:rsidR="0011155D" w:rsidP="0011155D" w:rsidRDefault="0011155D" w14:paraId="78CE8682" w14:textId="3F4CE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 xml:space="preserve">Zauważyć należy ogólny wysoki </w:t>
      </w:r>
      <w:r w:rsidRPr="0011155D">
        <w:rPr>
          <w:rFonts w:ascii="Times New Roman" w:hAnsi="Times New Roman" w:cs="Times New Roman"/>
          <w:b/>
          <w:bCs/>
          <w:sz w:val="24"/>
          <w:szCs w:val="24"/>
        </w:rPr>
        <w:t xml:space="preserve">udział bardzo pozytywnych ocen uzyskanych w I terminie. </w:t>
      </w:r>
      <w:r w:rsidRPr="0011155D">
        <w:rPr>
          <w:rFonts w:ascii="Times New Roman" w:hAnsi="Times New Roman" w:cs="Times New Roman"/>
          <w:sz w:val="24"/>
          <w:szCs w:val="24"/>
        </w:rPr>
        <w:t>Szczegółowe dane wskazują, że aż w przypadku 39,12% była to ocena 5, a</w:t>
      </w:r>
      <w:r w:rsidR="0029792E">
        <w:rPr>
          <w:rFonts w:ascii="Times New Roman" w:hAnsi="Times New Roman" w:cs="Times New Roman"/>
          <w:sz w:val="24"/>
          <w:szCs w:val="24"/>
        </w:rPr>
        <w:t> </w:t>
      </w:r>
      <w:r w:rsidRPr="0011155D">
        <w:rPr>
          <w:rFonts w:ascii="Times New Roman" w:hAnsi="Times New Roman" w:cs="Times New Roman"/>
          <w:sz w:val="24"/>
          <w:szCs w:val="24"/>
        </w:rPr>
        <w:t>w</w:t>
      </w:r>
      <w:r w:rsidR="0029792E">
        <w:rPr>
          <w:rFonts w:ascii="Times New Roman" w:hAnsi="Times New Roman" w:cs="Times New Roman"/>
          <w:sz w:val="24"/>
          <w:szCs w:val="24"/>
        </w:rPr>
        <w:t> </w:t>
      </w:r>
      <w:r w:rsidRPr="0011155D">
        <w:rPr>
          <w:rFonts w:ascii="Times New Roman" w:hAnsi="Times New Roman" w:cs="Times New Roman"/>
          <w:sz w:val="24"/>
          <w:szCs w:val="24"/>
        </w:rPr>
        <w:t>przypadku 16,58% była to ocena 4,5. Łącznie więc te dwie oceny są wpisywane w ramach 55,70% weryfikacji w I terminie.</w:t>
      </w:r>
    </w:p>
    <w:p w:rsidRPr="0011155D" w:rsidR="0011155D" w:rsidP="0011155D" w:rsidRDefault="0011155D" w14:paraId="11673EFF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sz w:val="24"/>
          <w:szCs w:val="24"/>
        </w:rPr>
        <w:t xml:space="preserve">Analiza danych za rok akademicki 2022/2023 wskazuje, że </w:t>
      </w:r>
      <w:r w:rsidRPr="0011155D">
        <w:rPr>
          <w:rFonts w:ascii="Times New Roman" w:hAnsi="Times New Roman" w:cs="Times New Roman"/>
          <w:b/>
          <w:bCs/>
          <w:sz w:val="24"/>
          <w:szCs w:val="24"/>
        </w:rPr>
        <w:t>dużo niższe oceny są osiągane na studiach niestacjonarnych</w:t>
      </w:r>
      <w:r w:rsidRPr="0011155D">
        <w:rPr>
          <w:rFonts w:ascii="Times New Roman" w:hAnsi="Times New Roman" w:cs="Times New Roman"/>
          <w:sz w:val="24"/>
          <w:szCs w:val="24"/>
        </w:rPr>
        <w:t xml:space="preserve">. Ocenę 2 z I terminu uzyskało tu 7,39% weryfikacji (5,21% na stacjonarnych), a ocenę 5 – 34,68% weryfikacji (40,09% na stacjonarnych).    </w:t>
      </w:r>
    </w:p>
    <w:p w:rsidRPr="0011155D" w:rsidR="0011155D" w:rsidP="0011155D" w:rsidRDefault="0011155D" w14:paraId="40E869BE" w14:textId="529DF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sz w:val="24"/>
          <w:szCs w:val="24"/>
        </w:rPr>
        <w:t>Podobnie jak w latach poprzednich, analizie poddano liczbę modułów zakończonych ze</w:t>
      </w:r>
      <w:r w:rsidR="0029792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średnią 4,75 i wyżej. 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>Można tu mówić o pewnym wzroście rok do roku, ale na przestrzeni kilku lat wartości oscylują wokół podobnych poziomów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– w roku 2022/2023 z taką średnią zakończyło się 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>5022 modułów, czyli 29,32%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 (2021/2022: 28,15%, 2020/2021: 29,86%, 2019/2020: 27,94%), z czego na studiach stacjonarnych 4390, czyli 30,06% (2021/2022: 28,92%, 2020/2021: 30,89%, 2019/2020: 28,70%), a na niestacjonarnych 632, czyli 25,07% (2021/2022: 23,92%, 2020/2021: 26,34%, 2019/2020: 22,80%). </w:t>
      </w:r>
    </w:p>
    <w:p w:rsidRPr="0011155D" w:rsidR="0011155D" w:rsidP="0011155D" w:rsidRDefault="0011155D" w14:paraId="2F2D8533" w14:textId="4173C812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Od kilku lat można było obserwować zmniejszanie się skali zjawiska 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>przypisywania ocen tej samej wartości wszystkim studentom w obrębie jednego modułu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. W roku akademickim 2019/2020 liczba tych modułów stanowiła prawe 16% wszystkich, w 2021/2022 wartość ta spadła do 15%. W 2022/2023 wartość ta wzrosła jednak ponownie – do poziomu </w:t>
      </w:r>
      <w:r w:rsidRPr="0011155D">
        <w:rPr>
          <w:rFonts w:ascii="Times New Roman" w:hAnsi="Times New Roman" w:eastAsia="Times New Roman" w:cs="Times New Roman"/>
          <w:b/>
          <w:bCs/>
          <w:sz w:val="24"/>
          <w:szCs w:val="24"/>
        </w:rPr>
        <w:t>16,12%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 (2761 modułów). Na studiach stacjonarnych było to 2475, czyli 16,95% (2021/2022: 15,17%), zaś na niestacjonarnych 286, czyli 11,34% (2021/2022: 11,07%). Warto zwrócić uwagę na ten element, chociaż w toku jakościowej analizy widać, że w wielu przypadkach są to oceny wystawione w ramach zajęć zaprojektowanych jako praca grupowa lub projektowa, a</w:t>
      </w:r>
      <w:r w:rsidR="0029792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11155D">
        <w:rPr>
          <w:rFonts w:ascii="Times New Roman" w:hAnsi="Times New Roman" w:eastAsia="Times New Roman" w:cs="Times New Roman"/>
          <w:sz w:val="24"/>
          <w:szCs w:val="24"/>
        </w:rPr>
        <w:t xml:space="preserve">więc umożliwiających klarowną weryfikację efektów kompetencyjnych. </w:t>
      </w:r>
    </w:p>
    <w:p w:rsidRPr="0011155D" w:rsidR="0011155D" w:rsidP="0011155D" w:rsidRDefault="0011155D" w14:paraId="005BD3F1" w14:textId="189951CA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1155D" w:rsidR="0011155D" w:rsidP="00517245" w:rsidRDefault="0011155D" w14:paraId="5DDE72EE" w14:textId="2DF736F3">
      <w:pPr>
        <w:keepNext/>
        <w:spacing w:after="0" w:line="36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</w:rPr>
      </w:pPr>
      <w:r w:rsidRPr="0011155D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Rys. </w:t>
      </w:r>
      <w:r>
        <w:rPr>
          <w:rFonts w:ascii="Times New Roman" w:hAnsi="Times New Roman" w:eastAsia="Times New Roman" w:cs="Times New Roman"/>
          <w:i/>
          <w:iCs/>
          <w:sz w:val="20"/>
          <w:szCs w:val="20"/>
        </w:rPr>
        <w:t>4</w:t>
      </w:r>
      <w:r w:rsidRPr="0011155D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Tabela modułów, z których wszystkie oceny były takie same </w:t>
      </w:r>
    </w:p>
    <w:p w:rsidRPr="0011155D" w:rsidR="0011155D" w:rsidP="0011155D" w:rsidRDefault="0011155D" w14:paraId="2DA2E331" w14:textId="777777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5D">
        <w:rPr>
          <w:rFonts w:ascii="Times New Roman" w:hAnsi="Times New Roman" w:cs="Times New Roman"/>
          <w:noProof/>
          <w:sz w:val="24"/>
          <w:szCs w:val="24"/>
          <w:highlight w:val="yellow"/>
          <w:lang w:eastAsia="pl-PL"/>
        </w:rPr>
        <w:drawing>
          <wp:inline distT="0" distB="0" distL="0" distR="0" wp14:anchorId="24E70312" wp14:editId="4D6D8269">
            <wp:extent cx="4699000" cy="2743200"/>
            <wp:effectExtent l="0" t="0" r="6350" b="0"/>
            <wp:docPr id="46194535" name="Wykres 461945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Pr="0011155D" w:rsidR="0011155D" w:rsidP="0011155D" w:rsidRDefault="0011155D" w14:paraId="5CF2A51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11155D" w:rsidR="0011155D" w:rsidP="00517245" w:rsidRDefault="0011155D" w14:paraId="63B55354" w14:textId="16E2963E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11155D">
        <w:rPr>
          <w:rFonts w:ascii="Times New Roman" w:hAnsi="Times New Roman" w:eastAsia="Times New Roman" w:cs="Times New Roman"/>
          <w:sz w:val="24"/>
          <w:szCs w:val="24"/>
        </w:rPr>
        <w:t>Na poziomie uniwersyteckim wzrosła ilość modułów zakończonych medianą ocen 2,0, a więc przypadków, gdy co najmniej 50% studentów otrzymało oceny niedostateczne. Było to 181 przypadków, czyli 1,06% (2021/2022: 1,05%, 2020/2021: 0,57%, 2019/2020: 0,72%), z czego na studiach stacjonarnych 154, czyli 1,05%, a na niestacjonarnych 27, czyli 1,07%. Szczegółowe informacje zostały przekazane dyrekcjom kierunków studiów, które dokonały indywidualnej weryfikacji każdego przypadku pod kątem ewentualnych możliwości udoskonalenia procesu dydaktycznego, aby większa liczba osób studiujących osiągała zakładane efekty uczenia się.</w:t>
      </w:r>
    </w:p>
    <w:p w:rsidRPr="0011155D" w:rsidR="00FE0E72" w:rsidP="0011155D" w:rsidRDefault="00FE0E72" w14:paraId="40EB135F" w14:textId="54F0BFBB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517245" w:rsidR="00FE0E72" w:rsidP="00517245" w:rsidRDefault="00517245" w14:paraId="10D099CF" w14:textId="104796C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eastAsia="Times New Roman"/>
          <w:b/>
          <w:bCs/>
          <w:sz w:val="24"/>
          <w:szCs w:val="24"/>
        </w:rPr>
      </w:pPr>
      <w:r w:rsidRPr="00517245">
        <w:rPr>
          <w:rFonts w:ascii="Times New Roman" w:hAnsi="Times New Roman" w:eastAsia="Times New Roman"/>
          <w:b/>
          <w:bCs/>
          <w:sz w:val="24"/>
          <w:szCs w:val="24"/>
        </w:rPr>
        <w:t>Wyniki dyplomowania</w:t>
      </w:r>
    </w:p>
    <w:p w:rsidRPr="00517245" w:rsidR="00517245" w:rsidP="00517245" w:rsidRDefault="00517245" w14:paraId="5E1296F9" w14:textId="3DCF6109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17245">
        <w:rPr>
          <w:rFonts w:ascii="Times New Roman" w:hAnsi="Times New Roman" w:eastAsia="Times New Roman" w:cs="Times New Roman"/>
          <w:sz w:val="24"/>
          <w:szCs w:val="24"/>
        </w:rPr>
        <w:t xml:space="preserve">W roku akademickim 2022/2023 przeprowadzono </w:t>
      </w:r>
      <w:r w:rsidRPr="0051724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4780 egzaminów dyplomowych 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>(z</w:t>
      </w:r>
      <w:r w:rsidR="0029792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>czego 140 prac to prace artystyczne)</w:t>
      </w:r>
      <w:r w:rsidRPr="0051724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. 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>W</w:t>
      </w:r>
      <w:r w:rsidRPr="00517245">
        <w:rPr>
          <w:rFonts w:ascii="Times New Roman" w:hAnsi="Times New Roman" w:eastAsia="Times New Roman" w:cs="Times New Roman"/>
          <w:b/>
          <w:bCs/>
          <w:sz w:val="24"/>
          <w:szCs w:val="24"/>
        </w:rPr>
        <w:t> 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>porównaniu z latami ubiegłymi:</w:t>
      </w:r>
      <w:r w:rsidRPr="0051724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517245" w:rsidR="00517245" w:rsidP="00517245" w:rsidRDefault="00517245" w14:paraId="0A36BA35" w14:textId="137CD4C4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2021/2022: 4813</w:t>
      </w:r>
      <w:r>
        <w:rPr>
          <w:rFonts w:ascii="Times New Roman" w:hAnsi="Times New Roman" w:eastAsia="Times New Roman"/>
          <w:sz w:val="24"/>
          <w:szCs w:val="24"/>
        </w:rPr>
        <w:t>;</w:t>
      </w:r>
    </w:p>
    <w:p w:rsidRPr="00517245" w:rsidR="00517245" w:rsidP="00517245" w:rsidRDefault="00517245" w14:paraId="70923E5F" w14:textId="6B6B2C6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2020/2021: 5065</w:t>
      </w:r>
      <w:r>
        <w:rPr>
          <w:rFonts w:ascii="Times New Roman" w:hAnsi="Times New Roman" w:eastAsia="Times New Roman"/>
          <w:sz w:val="24"/>
          <w:szCs w:val="24"/>
        </w:rPr>
        <w:t>;</w:t>
      </w:r>
    </w:p>
    <w:p w:rsidRPr="00517245" w:rsidR="00517245" w:rsidP="00517245" w:rsidRDefault="00517245" w14:paraId="356FA86A" w14:textId="0751F2FB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2019/2020: 4976</w:t>
      </w:r>
      <w:r>
        <w:rPr>
          <w:rFonts w:ascii="Times New Roman" w:hAnsi="Times New Roman" w:eastAsia="Times New Roman"/>
          <w:sz w:val="24"/>
          <w:szCs w:val="24"/>
        </w:rPr>
        <w:t>;</w:t>
      </w:r>
    </w:p>
    <w:p w:rsidRPr="00517245" w:rsidR="00517245" w:rsidP="00517245" w:rsidRDefault="00517245" w14:paraId="179CC58C" w14:textId="410C2D79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2017/2018: 7245</w:t>
      </w:r>
      <w:r>
        <w:rPr>
          <w:rFonts w:ascii="Times New Roman" w:hAnsi="Times New Roman" w:eastAsia="Times New Roman"/>
          <w:sz w:val="24"/>
          <w:szCs w:val="24"/>
        </w:rPr>
        <w:t>;</w:t>
      </w:r>
    </w:p>
    <w:p w:rsidRPr="00517245" w:rsidR="00517245" w:rsidP="00517245" w:rsidRDefault="00517245" w14:paraId="745359EF" w14:textId="79EAB84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17245">
        <w:rPr>
          <w:rFonts w:ascii="Times New Roman" w:hAnsi="Times New Roman" w:eastAsia="Times New Roman" w:cs="Times New Roman"/>
          <w:sz w:val="24"/>
          <w:szCs w:val="24"/>
        </w:rPr>
        <w:t>ilość egzaminów spadła o 33 (we wcześniejszym roku spadek wynosił prawie 2500 jednostek). Jednakże należy tu zaznaczyć, że spadek w tym roku dotyczy studiów w trybie stacjonarnym (łącznie na wszystkich stopniach o 118) – na studiach niestacjonarnych zanotowano wzrost o</w:t>
      </w:r>
      <w:r w:rsidR="0029792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>85 (czyli aż o 12%).</w:t>
      </w:r>
    </w:p>
    <w:p w:rsidR="00517245" w:rsidP="00517245" w:rsidRDefault="00517245" w14:paraId="3032166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i/>
          <w:iCs/>
          <w:sz w:val="20"/>
          <w:szCs w:val="20"/>
        </w:rPr>
      </w:pPr>
    </w:p>
    <w:p w:rsidRPr="00517245" w:rsidR="00517245" w:rsidP="00517245" w:rsidRDefault="00517245" w14:paraId="3CAE0A01" w14:textId="0B394C55">
      <w:pPr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517245">
        <w:rPr>
          <w:rFonts w:ascii="Times New Roman" w:hAnsi="Times New Roman" w:eastAsia="Times New Roman" w:cs="Times New Roman"/>
          <w:i/>
          <w:iCs/>
          <w:sz w:val="20"/>
          <w:szCs w:val="20"/>
        </w:rPr>
        <w:t>Tab.</w:t>
      </w:r>
      <w:r>
        <w:rPr>
          <w:rFonts w:ascii="Times New Roman" w:hAnsi="Times New Roman" w:eastAsia="Times New Roman" w:cs="Times New Roman"/>
          <w:i/>
          <w:iCs/>
          <w:sz w:val="20"/>
          <w:szCs w:val="20"/>
        </w:rPr>
        <w:t>7</w:t>
      </w:r>
      <w:r w:rsidRPr="00517245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 </w:t>
      </w:r>
      <w:r w:rsidRPr="00517245">
        <w:rPr>
          <w:rFonts w:ascii="Times New Roman" w:hAnsi="Times New Roman" w:eastAsia="Times New Roman" w:cs="Times New Roman"/>
          <w:sz w:val="20"/>
          <w:szCs w:val="20"/>
        </w:rPr>
        <w:t xml:space="preserve">Aktualna liczba przeprowadzonych egzaminów dyplomowych na studiach stacjonarnych i niestacjonarnych </w:t>
      </w:r>
    </w:p>
    <w:tbl>
      <w:tblPr>
        <w:tblStyle w:val="Tabela-Siatka"/>
        <w:tblW w:w="9735" w:type="dxa"/>
        <w:jc w:val="center"/>
        <w:tblLayout w:type="fixed"/>
        <w:tblLook w:val="06A0" w:firstRow="1" w:lastRow="0" w:firstColumn="1" w:lastColumn="0" w:noHBand="1" w:noVBand="1"/>
      </w:tblPr>
      <w:tblGrid>
        <w:gridCol w:w="4695"/>
        <w:gridCol w:w="2520"/>
        <w:gridCol w:w="2520"/>
      </w:tblGrid>
      <w:tr w:rsidRPr="00517245" w:rsidR="00517245" w:rsidTr="00517245" w14:paraId="4F8245B7" w14:textId="77777777">
        <w:trPr>
          <w:jc w:val="center"/>
        </w:trPr>
        <w:tc>
          <w:tcPr>
            <w:tcW w:w="4695" w:type="dxa"/>
            <w:shd w:val="clear" w:color="auto" w:fill="2F5496" w:themeFill="accent1" w:themeFillShade="BF"/>
          </w:tcPr>
          <w:p w:rsidRPr="00517245" w:rsidR="00517245" w:rsidP="00517245" w:rsidRDefault="00517245" w14:paraId="7400C021" w14:textId="77777777">
            <w:pPr>
              <w:spacing w:line="360" w:lineRule="auto"/>
              <w:rPr>
                <w:rFonts w:ascii="Times New Roman" w:hAnsi="Times New Roman" w:eastAsia="Calibri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color w:val="FFFFFF" w:themeColor="background1"/>
                <w:sz w:val="20"/>
                <w:szCs w:val="20"/>
              </w:rPr>
              <w:t>Rodzaj studiów:</w:t>
            </w:r>
          </w:p>
        </w:tc>
        <w:tc>
          <w:tcPr>
            <w:tcW w:w="2520" w:type="dxa"/>
            <w:shd w:val="clear" w:color="auto" w:fill="2F5496" w:themeFill="accent1" w:themeFillShade="BF"/>
          </w:tcPr>
          <w:p w:rsidRPr="00517245" w:rsidR="00517245" w:rsidP="00517245" w:rsidRDefault="00517245" w14:paraId="5BD7AFCB" w14:textId="77777777">
            <w:pPr>
              <w:spacing w:line="360" w:lineRule="auto"/>
              <w:rPr>
                <w:rFonts w:ascii="Times New Roman" w:hAnsi="Times New Roman" w:eastAsia="Calibri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color w:val="FFFFFF" w:themeColor="background1"/>
                <w:sz w:val="20"/>
                <w:szCs w:val="20"/>
              </w:rPr>
              <w:t>Studia stacjonarne:</w:t>
            </w:r>
          </w:p>
        </w:tc>
        <w:tc>
          <w:tcPr>
            <w:tcW w:w="2520" w:type="dxa"/>
            <w:shd w:val="clear" w:color="auto" w:fill="2F5496" w:themeFill="accent1" w:themeFillShade="BF"/>
          </w:tcPr>
          <w:p w:rsidRPr="00517245" w:rsidR="00517245" w:rsidP="00517245" w:rsidRDefault="00517245" w14:paraId="7C7FD7AF" w14:textId="77777777">
            <w:pPr>
              <w:spacing w:line="360" w:lineRule="auto"/>
              <w:rPr>
                <w:rFonts w:ascii="Times New Roman" w:hAnsi="Times New Roman" w:eastAsia="Calibri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color w:val="FFFFFF" w:themeColor="background1"/>
                <w:sz w:val="20"/>
                <w:szCs w:val="20"/>
              </w:rPr>
              <w:t>Studia niestacjonarne:</w:t>
            </w:r>
          </w:p>
        </w:tc>
      </w:tr>
      <w:tr w:rsidRPr="00517245" w:rsidR="00517245" w:rsidTr="00517245" w14:paraId="70871D66" w14:textId="77777777">
        <w:trPr>
          <w:jc w:val="center"/>
        </w:trPr>
        <w:tc>
          <w:tcPr>
            <w:tcW w:w="4695" w:type="dxa"/>
          </w:tcPr>
          <w:p w:rsidRPr="00517245" w:rsidR="00517245" w:rsidP="00517245" w:rsidRDefault="00517245" w14:paraId="53B9621C" w14:textId="77777777">
            <w:pPr>
              <w:spacing w:line="36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pierwszego stopnia</w:t>
            </w:r>
          </w:p>
        </w:tc>
        <w:tc>
          <w:tcPr>
            <w:tcW w:w="2520" w:type="dxa"/>
          </w:tcPr>
          <w:p w:rsidRPr="00517245" w:rsidR="00517245" w:rsidP="00517245" w:rsidRDefault="00517245" w14:paraId="09F5A3D7" w14:textId="77777777"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2208</w:t>
            </w:r>
          </w:p>
        </w:tc>
        <w:tc>
          <w:tcPr>
            <w:tcW w:w="2520" w:type="dxa"/>
          </w:tcPr>
          <w:p w:rsidRPr="00517245" w:rsidR="00517245" w:rsidP="00517245" w:rsidRDefault="00517245" w14:paraId="2F9B3683" w14:textId="77777777"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262</w:t>
            </w:r>
          </w:p>
        </w:tc>
      </w:tr>
      <w:tr w:rsidRPr="00517245" w:rsidR="00517245" w:rsidTr="00517245" w14:paraId="5C2E53F3" w14:textId="77777777">
        <w:trPr>
          <w:jc w:val="center"/>
        </w:trPr>
        <w:tc>
          <w:tcPr>
            <w:tcW w:w="4695" w:type="dxa"/>
          </w:tcPr>
          <w:p w:rsidRPr="00517245" w:rsidR="00517245" w:rsidP="00517245" w:rsidRDefault="00517245" w14:paraId="0A7FBBC8" w14:textId="77777777">
            <w:pPr>
              <w:spacing w:line="36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drugiego stopnia</w:t>
            </w:r>
          </w:p>
        </w:tc>
        <w:tc>
          <w:tcPr>
            <w:tcW w:w="2520" w:type="dxa"/>
          </w:tcPr>
          <w:p w:rsidRPr="00517245" w:rsidR="00517245" w:rsidP="00517245" w:rsidRDefault="00517245" w14:paraId="6153A685" w14:textId="77777777"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1366</w:t>
            </w:r>
          </w:p>
        </w:tc>
        <w:tc>
          <w:tcPr>
            <w:tcW w:w="2520" w:type="dxa"/>
          </w:tcPr>
          <w:p w:rsidRPr="00517245" w:rsidR="00517245" w:rsidP="00517245" w:rsidRDefault="00517245" w14:paraId="6128255D" w14:textId="77777777"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328</w:t>
            </w:r>
          </w:p>
        </w:tc>
      </w:tr>
      <w:tr w:rsidRPr="00517245" w:rsidR="00517245" w:rsidTr="00517245" w14:paraId="6007C5EA" w14:textId="77777777">
        <w:trPr>
          <w:jc w:val="center"/>
        </w:trPr>
        <w:tc>
          <w:tcPr>
            <w:tcW w:w="4695" w:type="dxa"/>
          </w:tcPr>
          <w:p w:rsidRPr="00517245" w:rsidR="00517245" w:rsidP="00517245" w:rsidRDefault="00517245" w14:paraId="78577215" w14:textId="77777777">
            <w:pPr>
              <w:spacing w:line="36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jednolite magisterskie</w:t>
            </w:r>
          </w:p>
        </w:tc>
        <w:tc>
          <w:tcPr>
            <w:tcW w:w="2520" w:type="dxa"/>
          </w:tcPr>
          <w:p w:rsidRPr="00517245" w:rsidR="00517245" w:rsidP="00517245" w:rsidRDefault="00517245" w14:paraId="4DC0838B" w14:textId="77777777"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397</w:t>
            </w:r>
          </w:p>
        </w:tc>
        <w:tc>
          <w:tcPr>
            <w:tcW w:w="2520" w:type="dxa"/>
          </w:tcPr>
          <w:p w:rsidRPr="00517245" w:rsidR="00517245" w:rsidP="00517245" w:rsidRDefault="00517245" w14:paraId="6D834555" w14:textId="77777777"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219</w:t>
            </w:r>
          </w:p>
        </w:tc>
      </w:tr>
      <w:tr w:rsidRPr="00517245" w:rsidR="00517245" w:rsidTr="00517245" w14:paraId="23DAEE08" w14:textId="77777777">
        <w:trPr>
          <w:jc w:val="center"/>
        </w:trPr>
        <w:tc>
          <w:tcPr>
            <w:tcW w:w="4695" w:type="dxa"/>
            <w:shd w:val="clear" w:color="auto" w:fill="2F5496" w:themeFill="accent1" w:themeFillShade="BF"/>
          </w:tcPr>
          <w:p w:rsidRPr="00517245" w:rsidR="00517245" w:rsidP="00517245" w:rsidRDefault="00517245" w14:paraId="25407B8D" w14:textId="77777777">
            <w:pPr>
              <w:spacing w:line="360" w:lineRule="auto"/>
              <w:jc w:val="righ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color w:val="FFFFFF" w:themeColor="background1"/>
                <w:sz w:val="20"/>
                <w:szCs w:val="20"/>
              </w:rPr>
              <w:t>łącznie:</w:t>
            </w:r>
          </w:p>
        </w:tc>
        <w:tc>
          <w:tcPr>
            <w:tcW w:w="2520" w:type="dxa"/>
          </w:tcPr>
          <w:p w:rsidRPr="00517245" w:rsidR="00517245" w:rsidP="00517245" w:rsidRDefault="00517245" w14:paraId="35D08606" w14:textId="77777777"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3971</w:t>
            </w:r>
          </w:p>
        </w:tc>
        <w:tc>
          <w:tcPr>
            <w:tcW w:w="2520" w:type="dxa"/>
          </w:tcPr>
          <w:p w:rsidRPr="00517245" w:rsidR="00517245" w:rsidP="00517245" w:rsidRDefault="00517245" w14:paraId="1BB257B1" w14:textId="77777777"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Calibri" w:cs="Times New Roman"/>
                <w:sz w:val="20"/>
                <w:szCs w:val="20"/>
              </w:rPr>
              <w:t>809</w:t>
            </w:r>
          </w:p>
        </w:tc>
      </w:tr>
    </w:tbl>
    <w:p w:rsidRPr="00517245" w:rsidR="00517245" w:rsidP="00517245" w:rsidRDefault="00517245" w14:paraId="20EA5C62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517245" w:rsidR="00517245" w:rsidP="00517245" w:rsidRDefault="00517245" w14:paraId="59E6ED46" w14:textId="77777777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17245">
        <w:rPr>
          <w:rFonts w:ascii="Times New Roman" w:hAnsi="Times New Roman" w:eastAsia="Times New Roman" w:cs="Times New Roman"/>
          <w:sz w:val="24"/>
          <w:szCs w:val="24"/>
        </w:rPr>
        <w:t xml:space="preserve">Szczegółowa analiza wyników pełnego procesu dyplomowania wskazuje, że: </w:t>
      </w:r>
    </w:p>
    <w:p w:rsidRPr="00517245" w:rsidR="00517245" w:rsidP="00517245" w:rsidRDefault="00517245" w14:paraId="0B296FD3" w14:textId="7777777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 w:eastAsia="Times New Roman"/>
          <w:b/>
          <w:bCs/>
          <w:sz w:val="24"/>
          <w:szCs w:val="24"/>
        </w:rPr>
        <w:t>średnia ocena z prac dyplomowych</w:t>
      </w:r>
      <w:r w:rsidRPr="00517245">
        <w:rPr>
          <w:rFonts w:ascii="Times New Roman" w:hAnsi="Times New Roman" w:eastAsia="Times New Roman"/>
          <w:sz w:val="24"/>
          <w:szCs w:val="24"/>
        </w:rPr>
        <w:t xml:space="preserve"> wyniosła </w:t>
      </w:r>
      <w:r w:rsidRPr="00517245">
        <w:rPr>
          <w:rFonts w:ascii="Times New Roman" w:hAnsi="Times New Roman" w:eastAsia="Times New Roman"/>
          <w:b/>
          <w:bCs/>
          <w:sz w:val="24"/>
          <w:szCs w:val="24"/>
        </w:rPr>
        <w:t>4,65</w:t>
      </w:r>
      <w:r w:rsidRPr="00517245">
        <w:rPr>
          <w:rFonts w:ascii="Times New Roman" w:hAnsi="Times New Roman" w:eastAsia="Times New Roman"/>
          <w:sz w:val="24"/>
          <w:szCs w:val="24"/>
        </w:rPr>
        <w:t xml:space="preserve"> (2021/2022: 4,62, 2020/2021: 4,63, 2019/2020: 4,61, 2017/2018: 4,52), z czego na studiach stacjonarnych równa była wartości 4,66, a na niestacjonarnych - 4,58;</w:t>
      </w:r>
    </w:p>
    <w:p w:rsidRPr="00517245" w:rsidR="00517245" w:rsidP="00517245" w:rsidRDefault="00517245" w14:paraId="4FB39983" w14:textId="678B52B9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 w:eastAsia="Times New Roman"/>
          <w:b/>
          <w:bCs/>
          <w:sz w:val="24"/>
          <w:szCs w:val="24"/>
        </w:rPr>
        <w:t>średnia ocen uzyskanych w ramach  egzaminów dyplomowych</w:t>
      </w:r>
      <w:r w:rsidRPr="00517245">
        <w:rPr>
          <w:rFonts w:ascii="Times New Roman" w:hAnsi="Times New Roman" w:eastAsia="Times New Roman"/>
          <w:sz w:val="24"/>
          <w:szCs w:val="24"/>
        </w:rPr>
        <w:t xml:space="preserve"> wyniosła </w:t>
      </w:r>
      <w:r w:rsidRPr="00517245">
        <w:rPr>
          <w:rFonts w:ascii="Times New Roman" w:hAnsi="Times New Roman" w:eastAsia="Times New Roman"/>
          <w:b/>
          <w:bCs/>
          <w:sz w:val="24"/>
          <w:szCs w:val="24"/>
        </w:rPr>
        <w:t>4,68</w:t>
      </w:r>
      <w:r w:rsidRPr="00517245">
        <w:rPr>
          <w:rFonts w:ascii="Times New Roman" w:hAnsi="Times New Roman" w:eastAsia="Times New Roman"/>
          <w:sz w:val="24"/>
          <w:szCs w:val="24"/>
        </w:rPr>
        <w:t xml:space="preserve"> (2021/2022: 4,66, 2020/2021: 4,66, 2019/2020: 4,65, 2017/2018: 4,63), z czego na</w:t>
      </w:r>
      <w:r w:rsidR="0029792E">
        <w:rPr>
          <w:rFonts w:ascii="Times New Roman" w:hAnsi="Times New Roman" w:eastAsia="Times New Roman"/>
          <w:sz w:val="24"/>
          <w:szCs w:val="24"/>
        </w:rPr>
        <w:t> </w:t>
      </w:r>
      <w:r w:rsidRPr="00517245">
        <w:rPr>
          <w:rFonts w:ascii="Times New Roman" w:hAnsi="Times New Roman" w:eastAsia="Times New Roman"/>
          <w:sz w:val="24"/>
          <w:szCs w:val="24"/>
        </w:rPr>
        <w:t>studiach stacjonarnych -  4,69, a na niestacjonarnych - 4,61;</w:t>
      </w:r>
    </w:p>
    <w:p w:rsidRPr="00517245" w:rsidR="00517245" w:rsidP="00517245" w:rsidRDefault="00517245" w14:paraId="381528B5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17245" w:rsidR="00517245" w:rsidP="00517245" w:rsidRDefault="00517245" w14:paraId="1EC773BC" w14:textId="599BCCB4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17245">
        <w:rPr>
          <w:rFonts w:ascii="Times New Roman" w:hAnsi="Times New Roman" w:eastAsia="Times New Roman" w:cs="Times New Roman"/>
          <w:sz w:val="24"/>
          <w:szCs w:val="24"/>
        </w:rPr>
        <w:t xml:space="preserve">W skali Uniwersytetu ostateczną ocenę ukończenia studiów </w:t>
      </w:r>
      <w:r w:rsidRPr="00517245">
        <w:rPr>
          <w:rFonts w:ascii="Times New Roman" w:hAnsi="Times New Roman" w:eastAsia="Times New Roman" w:cs="Times New Roman"/>
          <w:b/>
          <w:bCs/>
          <w:sz w:val="24"/>
          <w:szCs w:val="24"/>
        </w:rPr>
        <w:t>podniesiono 1137 razy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>, co</w:t>
      </w:r>
      <w:r w:rsidR="0029792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 xml:space="preserve">daje </w:t>
      </w:r>
      <w:r w:rsidRPr="00517245">
        <w:rPr>
          <w:rFonts w:ascii="Times New Roman" w:hAnsi="Times New Roman" w:eastAsia="Times New Roman" w:cs="Times New Roman"/>
          <w:b/>
          <w:bCs/>
          <w:sz w:val="24"/>
          <w:szCs w:val="24"/>
        </w:rPr>
        <w:t>23,79%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 xml:space="preserve"> (2021/2022: 21,73%, 2020/2021: 18,18%, 2019/2020: 16,34%, 2017/2018 ponad 13%). Na studiach stacjonarnych wskaźnik ten obejmuje </w:t>
      </w:r>
      <w:r w:rsidRPr="00517245">
        <w:rPr>
          <w:rFonts w:ascii="Times New Roman" w:hAnsi="Times New Roman" w:eastAsia="Times New Roman" w:cs="Times New Roman"/>
          <w:b/>
          <w:bCs/>
          <w:sz w:val="24"/>
          <w:szCs w:val="24"/>
        </w:rPr>
        <w:t>25,11%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 xml:space="preserve"> (997) [rok wcześniej: ok.</w:t>
      </w:r>
      <w:r w:rsidR="0029792E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 xml:space="preserve">22%], a na niestacjonarnych – 17,30% (140) [rok wcześniej niecałe 17%]. Jest więc to 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utrzymaniem stałej tendencji od początku prowadzenia analiz – w ciągu ostatnich 5 lat nastąpił przyrost z 13% do prawie 24%. </w:t>
      </w:r>
    </w:p>
    <w:p w:rsidRPr="00517245" w:rsidR="00517245" w:rsidP="00517245" w:rsidRDefault="00517245" w14:paraId="64AFADD0" w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5">
        <w:rPr>
          <w:rFonts w:ascii="Times New Roman" w:hAnsi="Times New Roman" w:eastAsia="Times New Roman" w:cs="Times New Roman"/>
          <w:b/>
          <w:bCs/>
          <w:sz w:val="24"/>
          <w:szCs w:val="24"/>
        </w:rPr>
        <w:t>Dyplomy z wyróżnieniem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 xml:space="preserve"> otrzymało 718 osób (</w:t>
      </w:r>
      <w:r w:rsidRPr="00517245">
        <w:rPr>
          <w:rFonts w:ascii="Times New Roman" w:hAnsi="Times New Roman" w:eastAsia="Times New Roman" w:cs="Times New Roman"/>
          <w:b/>
          <w:bCs/>
          <w:sz w:val="24"/>
          <w:szCs w:val="24"/>
        </w:rPr>
        <w:t>15,02%</w:t>
      </w:r>
      <w:r w:rsidRPr="00517245">
        <w:rPr>
          <w:rFonts w:ascii="Times New Roman" w:hAnsi="Times New Roman" w:eastAsia="Times New Roman" w:cs="Times New Roman"/>
          <w:sz w:val="24"/>
          <w:szCs w:val="24"/>
        </w:rPr>
        <w:t>). Z czego na studiach stacjonarnych było to 661 (16,65%), a na niestacjonarnych 57 (7,05%).</w:t>
      </w:r>
    </w:p>
    <w:p w:rsidRPr="00517245" w:rsidR="00517245" w:rsidP="00517245" w:rsidRDefault="00517245" w14:paraId="42ABFF72" w14:textId="777777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Pr="00517245" w:rsidR="00517245" w:rsidP="00517245" w:rsidRDefault="00517245" w14:paraId="5B738E0E" w14:textId="451C243C">
      <w:pPr>
        <w:pStyle w:val="Akapitzlist"/>
        <w:spacing w:after="0" w:line="360" w:lineRule="auto"/>
        <w:ind w:left="0"/>
        <w:rPr>
          <w:rFonts w:ascii="Times New Roman" w:hAnsi="Times New Roman" w:eastAsia="Palatino Linotype"/>
          <w:i/>
          <w:iCs/>
          <w:sz w:val="20"/>
          <w:szCs w:val="20"/>
        </w:rPr>
      </w:pPr>
      <w:r w:rsidRPr="00517245">
        <w:rPr>
          <w:rFonts w:ascii="Times New Roman" w:hAnsi="Times New Roman" w:eastAsia="Palatino Linotype"/>
          <w:i/>
          <w:iCs/>
          <w:sz w:val="20"/>
          <w:szCs w:val="20"/>
        </w:rPr>
        <w:t>Tab.</w:t>
      </w:r>
      <w:r>
        <w:rPr>
          <w:rFonts w:ascii="Times New Roman" w:hAnsi="Times New Roman" w:eastAsia="Palatino Linotype"/>
          <w:i/>
          <w:iCs/>
          <w:sz w:val="20"/>
          <w:szCs w:val="20"/>
        </w:rPr>
        <w:t>8</w:t>
      </w:r>
      <w:r w:rsidRPr="00517245">
        <w:rPr>
          <w:rFonts w:ascii="Times New Roman" w:hAnsi="Times New Roman" w:eastAsia="Palatino Linotype"/>
          <w:i/>
          <w:iCs/>
          <w:sz w:val="20"/>
          <w:szCs w:val="20"/>
        </w:rPr>
        <w:t xml:space="preserve"> </w:t>
      </w:r>
      <w:r w:rsidRPr="00517245">
        <w:rPr>
          <w:rFonts w:ascii="Times New Roman" w:hAnsi="Times New Roman" w:eastAsia="Times New Roman"/>
          <w:sz w:val="20"/>
          <w:szCs w:val="20"/>
        </w:rPr>
        <w:t xml:space="preserve">Szczegółowe dane dot. oceny w procesie dyplomowania z rozbiciem na jednostki </w:t>
      </w:r>
    </w:p>
    <w:tbl>
      <w:tblPr>
        <w:tblStyle w:val="Tabela-Siatka"/>
        <w:tblW w:w="9776" w:type="dxa"/>
        <w:jc w:val="center"/>
        <w:tblLayout w:type="fixed"/>
        <w:tblLook w:val="06A0" w:firstRow="1" w:lastRow="0" w:firstColumn="1" w:lastColumn="0" w:noHBand="1" w:noVBand="1"/>
      </w:tblPr>
      <w:tblGrid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120"/>
      </w:tblGrid>
      <w:tr w:rsidRPr="00517245" w:rsidR="00517245" w:rsidTr="00687C04" w14:paraId="70FCD5C6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7B1DA086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</w:rPr>
              <w:t>Jednostka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3AA43508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</w:rPr>
              <w:t>Ocena z pracy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48935397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</w:rPr>
              <w:t>Ocena z egzaminu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56FA9FF8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</w:rPr>
              <w:t>Średnia ze studiów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67D7DE4F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</w:rPr>
              <w:t>Wynik studiów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5F786825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</w:rPr>
              <w:t>Ocena na dyplomie</w:t>
            </w:r>
          </w:p>
          <w:p w:rsidRPr="00517245" w:rsidR="00517245" w:rsidP="00517245" w:rsidRDefault="00517245" w14:paraId="29403F6A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20CD9589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</w:rPr>
              <w:t>Liczba obron</w:t>
            </w:r>
          </w:p>
        </w:tc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09EE5BF3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b/>
                <w:color w:val="00B0F0"/>
                <w:sz w:val="20"/>
                <w:szCs w:val="20"/>
              </w:rPr>
              <w:t>Podniesienia oceny</w:t>
            </w:r>
          </w:p>
        </w:tc>
        <w:tc>
          <w:tcPr>
            <w:tcW w:w="1120" w:type="dxa"/>
            <w:shd w:val="clear" w:color="auto" w:fill="2F5496" w:themeFill="accent1" w:themeFillShade="BF"/>
          </w:tcPr>
          <w:p w:rsidRPr="00517245" w:rsidR="00517245" w:rsidP="00517245" w:rsidRDefault="00517245" w14:paraId="184A2F14" w14:textId="77777777">
            <w:pPr>
              <w:spacing w:line="360" w:lineRule="auto"/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b/>
                <w:color w:val="00B0F0"/>
                <w:sz w:val="20"/>
                <w:szCs w:val="20"/>
              </w:rPr>
              <w:t>Podniesienia oceny -udział procentowy</w:t>
            </w:r>
          </w:p>
        </w:tc>
      </w:tr>
      <w:tr w:rsidRPr="00517245" w:rsidR="00517245" w:rsidTr="00687C04" w14:paraId="23C02715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2EA20005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UŚ</w:t>
            </w:r>
          </w:p>
        </w:tc>
        <w:tc>
          <w:tcPr>
            <w:tcW w:w="1082" w:type="dxa"/>
          </w:tcPr>
          <w:p w:rsidRPr="00517245" w:rsidR="00517245" w:rsidP="00517245" w:rsidRDefault="00517245" w14:paraId="17E799A8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82" w:type="dxa"/>
          </w:tcPr>
          <w:p w:rsidRPr="00517245" w:rsidR="00517245" w:rsidP="00517245" w:rsidRDefault="00517245" w14:paraId="2AFE93B4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082" w:type="dxa"/>
          </w:tcPr>
          <w:p w:rsidRPr="00517245" w:rsidR="00517245" w:rsidP="00517245" w:rsidRDefault="00517245" w14:paraId="037539C9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082" w:type="dxa"/>
          </w:tcPr>
          <w:p w:rsidRPr="00517245" w:rsidR="00517245" w:rsidP="00517245" w:rsidRDefault="00517245" w14:paraId="43367BE2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82" w:type="dxa"/>
          </w:tcPr>
          <w:p w:rsidRPr="00517245" w:rsidR="00517245" w:rsidP="00517245" w:rsidRDefault="00517245" w14:paraId="1C3B58DB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082" w:type="dxa"/>
          </w:tcPr>
          <w:p w:rsidRPr="00517245" w:rsidR="00517245" w:rsidP="00517245" w:rsidRDefault="00517245" w14:paraId="2BCC958A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4780</w:t>
            </w:r>
          </w:p>
        </w:tc>
        <w:tc>
          <w:tcPr>
            <w:tcW w:w="1082" w:type="dxa"/>
          </w:tcPr>
          <w:p w:rsidRPr="00517245" w:rsidR="00517245" w:rsidP="00517245" w:rsidRDefault="00517245" w14:paraId="629189A6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120" w:type="dxa"/>
            <w:shd w:val="clear" w:color="auto" w:fill="auto"/>
          </w:tcPr>
          <w:p w:rsidRPr="00517245" w:rsidR="00517245" w:rsidP="00517245" w:rsidRDefault="00517245" w14:paraId="045AA031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23,79%</w:t>
            </w:r>
          </w:p>
        </w:tc>
      </w:tr>
      <w:tr w:rsidRPr="00517245" w:rsidR="00517245" w:rsidTr="00687C04" w14:paraId="0622A46A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1DA81BB6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SF</w:t>
            </w:r>
          </w:p>
        </w:tc>
        <w:tc>
          <w:tcPr>
            <w:tcW w:w="1082" w:type="dxa"/>
          </w:tcPr>
          <w:p w:rsidRPr="00517245" w:rsidR="00517245" w:rsidP="00517245" w:rsidRDefault="00517245" w14:paraId="553BC8BE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82" w:type="dxa"/>
          </w:tcPr>
          <w:p w:rsidRPr="00517245" w:rsidR="00517245" w:rsidP="00517245" w:rsidRDefault="00517245" w14:paraId="719100A1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82" w:type="dxa"/>
          </w:tcPr>
          <w:p w:rsidRPr="00517245" w:rsidR="00517245" w:rsidP="00517245" w:rsidRDefault="00517245" w14:paraId="62D217FF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082" w:type="dxa"/>
          </w:tcPr>
          <w:p w:rsidRPr="00517245" w:rsidR="00517245" w:rsidP="00517245" w:rsidRDefault="00517245" w14:paraId="30EF870D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082" w:type="dxa"/>
          </w:tcPr>
          <w:p w:rsidRPr="00517245" w:rsidR="00517245" w:rsidP="00517245" w:rsidRDefault="00517245" w14:paraId="701CC966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5,02</w:t>
            </w:r>
          </w:p>
        </w:tc>
        <w:tc>
          <w:tcPr>
            <w:tcW w:w="1082" w:type="dxa"/>
          </w:tcPr>
          <w:p w:rsidRPr="00517245" w:rsidR="00517245" w:rsidP="00517245" w:rsidRDefault="00517245" w14:paraId="1B67396E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082" w:type="dxa"/>
          </w:tcPr>
          <w:p w:rsidRPr="00517245" w:rsidR="00517245" w:rsidP="00517245" w:rsidRDefault="00517245" w14:paraId="6212EFAD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20" w:type="dxa"/>
          </w:tcPr>
          <w:p w:rsidRPr="00517245" w:rsidR="00517245" w:rsidP="00517245" w:rsidRDefault="00517245" w14:paraId="0B819AF7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20,83%</w:t>
            </w:r>
          </w:p>
        </w:tc>
      </w:tr>
      <w:tr w:rsidRPr="00517245" w:rsidR="00517245" w:rsidTr="00687C04" w14:paraId="1B3E2D43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7A0A3033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WH</w:t>
            </w:r>
          </w:p>
        </w:tc>
        <w:tc>
          <w:tcPr>
            <w:tcW w:w="1082" w:type="dxa"/>
          </w:tcPr>
          <w:p w:rsidRPr="00517245" w:rsidR="00517245" w:rsidP="00517245" w:rsidRDefault="00517245" w14:paraId="73E80F7B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82" w:type="dxa"/>
          </w:tcPr>
          <w:p w:rsidRPr="00517245" w:rsidR="00517245" w:rsidP="00517245" w:rsidRDefault="00517245" w14:paraId="28A6E4BC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82" w:type="dxa"/>
          </w:tcPr>
          <w:p w:rsidRPr="00517245" w:rsidR="00517245" w:rsidP="00517245" w:rsidRDefault="00517245" w14:paraId="25A1CE4D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82" w:type="dxa"/>
          </w:tcPr>
          <w:p w:rsidRPr="00517245" w:rsidR="00517245" w:rsidP="00517245" w:rsidRDefault="00517245" w14:paraId="4B7416D2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82" w:type="dxa"/>
          </w:tcPr>
          <w:p w:rsidRPr="00517245" w:rsidR="00517245" w:rsidP="00517245" w:rsidRDefault="00517245" w14:paraId="3F9C4EA1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4,94</w:t>
            </w:r>
          </w:p>
        </w:tc>
        <w:tc>
          <w:tcPr>
            <w:tcW w:w="1082" w:type="dxa"/>
          </w:tcPr>
          <w:p w:rsidRPr="00517245" w:rsidR="00517245" w:rsidP="00517245" w:rsidRDefault="00517245" w14:paraId="6A81563F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1583</w:t>
            </w:r>
          </w:p>
        </w:tc>
        <w:tc>
          <w:tcPr>
            <w:tcW w:w="1082" w:type="dxa"/>
          </w:tcPr>
          <w:p w:rsidRPr="00517245" w:rsidR="00517245" w:rsidP="00517245" w:rsidRDefault="00517245" w14:paraId="7ED68DF8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20" w:type="dxa"/>
          </w:tcPr>
          <w:p w:rsidRPr="00517245" w:rsidR="00517245" w:rsidP="00517245" w:rsidRDefault="00517245" w14:paraId="08115031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28,81%</w:t>
            </w:r>
          </w:p>
        </w:tc>
      </w:tr>
      <w:tr w:rsidRPr="00517245" w:rsidR="00517245" w:rsidTr="00687C04" w14:paraId="304C516F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3B5B256D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WNP</w:t>
            </w:r>
          </w:p>
        </w:tc>
        <w:tc>
          <w:tcPr>
            <w:tcW w:w="1082" w:type="dxa"/>
          </w:tcPr>
          <w:p w:rsidRPr="00517245" w:rsidR="00517245" w:rsidP="00517245" w:rsidRDefault="00517245" w14:paraId="32B7A861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82" w:type="dxa"/>
          </w:tcPr>
          <w:p w:rsidRPr="00517245" w:rsidR="00517245" w:rsidP="00517245" w:rsidRDefault="00517245" w14:paraId="4AC36CA7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82" w:type="dxa"/>
          </w:tcPr>
          <w:p w:rsidRPr="00517245" w:rsidR="00517245" w:rsidP="00517245" w:rsidRDefault="00517245" w14:paraId="462C0D39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82" w:type="dxa"/>
          </w:tcPr>
          <w:p w:rsidRPr="00517245" w:rsidR="00517245" w:rsidP="00517245" w:rsidRDefault="00517245" w14:paraId="23041348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82" w:type="dxa"/>
          </w:tcPr>
          <w:p w:rsidRPr="00517245" w:rsidR="00517245" w:rsidP="00517245" w:rsidRDefault="00517245" w14:paraId="6E64873F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4,97</w:t>
            </w:r>
          </w:p>
        </w:tc>
        <w:tc>
          <w:tcPr>
            <w:tcW w:w="1082" w:type="dxa"/>
          </w:tcPr>
          <w:p w:rsidRPr="00517245" w:rsidR="00517245" w:rsidP="00517245" w:rsidRDefault="00517245" w14:paraId="21A570C7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082" w:type="dxa"/>
          </w:tcPr>
          <w:p w:rsidRPr="00517245" w:rsidR="00517245" w:rsidP="00517245" w:rsidRDefault="00517245" w14:paraId="62E4438E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20" w:type="dxa"/>
          </w:tcPr>
          <w:p w:rsidRPr="00517245" w:rsidR="00517245" w:rsidP="00517245" w:rsidRDefault="00517245" w14:paraId="6A008071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23,45%</w:t>
            </w:r>
          </w:p>
        </w:tc>
      </w:tr>
      <w:tr w:rsidRPr="00517245" w:rsidR="00517245" w:rsidTr="00687C04" w14:paraId="186AEBFA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7ADCD5C1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WNS</w:t>
            </w:r>
          </w:p>
        </w:tc>
        <w:tc>
          <w:tcPr>
            <w:tcW w:w="1082" w:type="dxa"/>
          </w:tcPr>
          <w:p w:rsidRPr="00517245" w:rsidR="00517245" w:rsidP="00517245" w:rsidRDefault="00517245" w14:paraId="0501436E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82" w:type="dxa"/>
          </w:tcPr>
          <w:p w:rsidRPr="00517245" w:rsidR="00517245" w:rsidP="00517245" w:rsidRDefault="00517245" w14:paraId="1C847F3F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082" w:type="dxa"/>
          </w:tcPr>
          <w:p w:rsidRPr="00517245" w:rsidR="00517245" w:rsidP="00517245" w:rsidRDefault="00517245" w14:paraId="221254C7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082" w:type="dxa"/>
          </w:tcPr>
          <w:p w:rsidRPr="00517245" w:rsidR="00517245" w:rsidP="00517245" w:rsidRDefault="00517245" w14:paraId="344B154F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082" w:type="dxa"/>
          </w:tcPr>
          <w:p w:rsidRPr="00517245" w:rsidR="00517245" w:rsidP="00517245" w:rsidRDefault="00517245" w14:paraId="3F7D4853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4,87</w:t>
            </w:r>
          </w:p>
        </w:tc>
        <w:tc>
          <w:tcPr>
            <w:tcW w:w="1082" w:type="dxa"/>
          </w:tcPr>
          <w:p w:rsidRPr="00517245" w:rsidR="00517245" w:rsidP="00517245" w:rsidRDefault="00517245" w14:paraId="444C5CB6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1261</w:t>
            </w:r>
          </w:p>
        </w:tc>
        <w:tc>
          <w:tcPr>
            <w:tcW w:w="1082" w:type="dxa"/>
          </w:tcPr>
          <w:p w:rsidRPr="00517245" w:rsidR="00517245" w:rsidP="00517245" w:rsidRDefault="00517245" w14:paraId="408D93AD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1120" w:type="dxa"/>
          </w:tcPr>
          <w:p w:rsidRPr="00517245" w:rsidR="00517245" w:rsidP="00517245" w:rsidRDefault="00517245" w14:paraId="12671A5C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22,84%</w:t>
            </w:r>
          </w:p>
        </w:tc>
      </w:tr>
      <w:tr w:rsidRPr="00517245" w:rsidR="00517245" w:rsidTr="00687C04" w14:paraId="31A1E14E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58EBA445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WNST</w:t>
            </w:r>
          </w:p>
        </w:tc>
        <w:tc>
          <w:tcPr>
            <w:tcW w:w="1082" w:type="dxa"/>
          </w:tcPr>
          <w:p w:rsidRPr="00517245" w:rsidR="00517245" w:rsidP="00517245" w:rsidRDefault="00517245" w14:paraId="6309CBB9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082" w:type="dxa"/>
          </w:tcPr>
          <w:p w:rsidRPr="00517245" w:rsidR="00517245" w:rsidP="00517245" w:rsidRDefault="00517245" w14:paraId="09D95E30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082" w:type="dxa"/>
          </w:tcPr>
          <w:p w:rsidRPr="00517245" w:rsidR="00517245" w:rsidP="00517245" w:rsidRDefault="00517245" w14:paraId="72FF1314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082" w:type="dxa"/>
          </w:tcPr>
          <w:p w:rsidRPr="00517245" w:rsidR="00517245" w:rsidP="00517245" w:rsidRDefault="00517245" w14:paraId="3E8BD695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082" w:type="dxa"/>
          </w:tcPr>
          <w:p w:rsidRPr="00517245" w:rsidR="00517245" w:rsidP="00517245" w:rsidRDefault="00517245" w14:paraId="15B3F6C3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4,82</w:t>
            </w:r>
          </w:p>
        </w:tc>
        <w:tc>
          <w:tcPr>
            <w:tcW w:w="1082" w:type="dxa"/>
          </w:tcPr>
          <w:p w:rsidRPr="00517245" w:rsidR="00517245" w:rsidP="00517245" w:rsidRDefault="00517245" w14:paraId="340E4825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1082" w:type="dxa"/>
          </w:tcPr>
          <w:p w:rsidRPr="00517245" w:rsidR="00517245" w:rsidP="00517245" w:rsidRDefault="00517245" w14:paraId="22F27ADA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120" w:type="dxa"/>
          </w:tcPr>
          <w:p w:rsidRPr="00517245" w:rsidR="00517245" w:rsidP="00517245" w:rsidRDefault="00517245" w14:paraId="4B5FB4A4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16,24%</w:t>
            </w:r>
          </w:p>
        </w:tc>
      </w:tr>
      <w:tr w:rsidRPr="00517245" w:rsidR="00517245" w:rsidTr="00687C04" w14:paraId="1CD87607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2A4D2C21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WPiA</w:t>
            </w:r>
          </w:p>
        </w:tc>
        <w:tc>
          <w:tcPr>
            <w:tcW w:w="1082" w:type="dxa"/>
          </w:tcPr>
          <w:p w:rsidRPr="00517245" w:rsidR="00517245" w:rsidP="00517245" w:rsidRDefault="00517245" w14:paraId="6DA2A9B4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82" w:type="dxa"/>
          </w:tcPr>
          <w:p w:rsidRPr="00517245" w:rsidR="00517245" w:rsidP="00517245" w:rsidRDefault="00517245" w14:paraId="145555AE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82" w:type="dxa"/>
          </w:tcPr>
          <w:p w:rsidRPr="00517245" w:rsidR="00517245" w:rsidP="00517245" w:rsidRDefault="00517245" w14:paraId="28C4AE48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4,16</w:t>
            </w:r>
          </w:p>
        </w:tc>
        <w:tc>
          <w:tcPr>
            <w:tcW w:w="1082" w:type="dxa"/>
          </w:tcPr>
          <w:p w:rsidRPr="00517245" w:rsidR="00517245" w:rsidP="00517245" w:rsidRDefault="00517245" w14:paraId="1C5ED13B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082" w:type="dxa"/>
          </w:tcPr>
          <w:p w:rsidRPr="00517245" w:rsidR="00517245" w:rsidP="00517245" w:rsidRDefault="00517245" w14:paraId="7C8D8C70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4,65</w:t>
            </w:r>
          </w:p>
        </w:tc>
        <w:tc>
          <w:tcPr>
            <w:tcW w:w="1082" w:type="dxa"/>
          </w:tcPr>
          <w:p w:rsidRPr="00517245" w:rsidR="00517245" w:rsidP="00517245" w:rsidRDefault="00517245" w14:paraId="5D5193E1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709</w:t>
            </w:r>
          </w:p>
        </w:tc>
        <w:tc>
          <w:tcPr>
            <w:tcW w:w="1082" w:type="dxa"/>
          </w:tcPr>
          <w:p w:rsidRPr="00517245" w:rsidR="00517245" w:rsidP="00517245" w:rsidRDefault="00517245" w14:paraId="1DA30DDC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20" w:type="dxa"/>
          </w:tcPr>
          <w:p w:rsidRPr="00517245" w:rsidR="00517245" w:rsidP="00517245" w:rsidRDefault="00517245" w14:paraId="135772B6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8,18%</w:t>
            </w:r>
          </w:p>
        </w:tc>
      </w:tr>
      <w:tr w:rsidRPr="00517245" w:rsidR="00517245" w:rsidTr="00687C04" w14:paraId="03AE7401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3734B014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WSNE</w:t>
            </w:r>
          </w:p>
        </w:tc>
        <w:tc>
          <w:tcPr>
            <w:tcW w:w="1082" w:type="dxa"/>
          </w:tcPr>
          <w:p w:rsidRPr="00517245" w:rsidR="00517245" w:rsidP="00517245" w:rsidRDefault="00517245" w14:paraId="7B53B851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82" w:type="dxa"/>
          </w:tcPr>
          <w:p w:rsidRPr="00517245" w:rsidR="00517245" w:rsidP="00517245" w:rsidRDefault="00517245" w14:paraId="55D2FF73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82" w:type="dxa"/>
          </w:tcPr>
          <w:p w:rsidRPr="00517245" w:rsidR="00517245" w:rsidP="00517245" w:rsidRDefault="00517245" w14:paraId="1A9EBAB8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082" w:type="dxa"/>
          </w:tcPr>
          <w:p w:rsidRPr="00517245" w:rsidR="00517245" w:rsidP="00517245" w:rsidRDefault="00517245" w14:paraId="566DD373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4,69</w:t>
            </w:r>
          </w:p>
        </w:tc>
        <w:tc>
          <w:tcPr>
            <w:tcW w:w="1082" w:type="dxa"/>
          </w:tcPr>
          <w:p w:rsidRPr="00517245" w:rsidR="00517245" w:rsidP="00517245" w:rsidRDefault="00517245" w14:paraId="4E55BBDE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5,27</w:t>
            </w:r>
          </w:p>
        </w:tc>
        <w:tc>
          <w:tcPr>
            <w:tcW w:w="1082" w:type="dxa"/>
          </w:tcPr>
          <w:p w:rsidRPr="00517245" w:rsidR="00517245" w:rsidP="00517245" w:rsidRDefault="00517245" w14:paraId="4A150C5D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1082" w:type="dxa"/>
          </w:tcPr>
          <w:p w:rsidRPr="00517245" w:rsidR="00517245" w:rsidP="00517245" w:rsidRDefault="00517245" w14:paraId="24882806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120" w:type="dxa"/>
          </w:tcPr>
          <w:p w:rsidRPr="00517245" w:rsidR="00517245" w:rsidP="00517245" w:rsidRDefault="00517245" w14:paraId="167438A9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44,51%</w:t>
            </w:r>
          </w:p>
        </w:tc>
      </w:tr>
      <w:tr w:rsidRPr="00517245" w:rsidR="00517245" w:rsidTr="00687C04" w14:paraId="4F2DED08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56A4FE36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/>
                <w:sz w:val="20"/>
                <w:szCs w:val="20"/>
              </w:rPr>
            </w:pPr>
            <w:proofErr w:type="spellStart"/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WTl</w:t>
            </w:r>
            <w:proofErr w:type="spellEnd"/>
          </w:p>
        </w:tc>
        <w:tc>
          <w:tcPr>
            <w:tcW w:w="1082" w:type="dxa"/>
          </w:tcPr>
          <w:p w:rsidRPr="00517245" w:rsidR="00517245" w:rsidP="00517245" w:rsidRDefault="00517245" w14:paraId="12B95222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082" w:type="dxa"/>
          </w:tcPr>
          <w:p w:rsidRPr="00517245" w:rsidR="00517245" w:rsidP="00517245" w:rsidRDefault="00517245" w14:paraId="6A90A722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082" w:type="dxa"/>
          </w:tcPr>
          <w:p w:rsidRPr="00517245" w:rsidR="00517245" w:rsidP="00517245" w:rsidRDefault="00517245" w14:paraId="4A68B9D0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82" w:type="dxa"/>
          </w:tcPr>
          <w:p w:rsidRPr="00517245" w:rsidR="00517245" w:rsidP="00517245" w:rsidRDefault="00517245" w14:paraId="2EAD4112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082" w:type="dxa"/>
          </w:tcPr>
          <w:p w:rsidRPr="00517245" w:rsidR="00517245" w:rsidP="00517245" w:rsidRDefault="00517245" w14:paraId="47A62794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82" w:type="dxa"/>
          </w:tcPr>
          <w:p w:rsidRPr="00517245" w:rsidR="00517245" w:rsidP="00517245" w:rsidRDefault="00517245" w14:paraId="4C494303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2" w:type="dxa"/>
          </w:tcPr>
          <w:p w:rsidRPr="00517245" w:rsidR="00517245" w:rsidP="00517245" w:rsidRDefault="00517245" w14:paraId="319CB9A9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</w:tcPr>
          <w:p w:rsidRPr="00517245" w:rsidR="00517245" w:rsidP="00517245" w:rsidRDefault="00517245" w14:paraId="648B4DA0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21,21%</w:t>
            </w:r>
          </w:p>
        </w:tc>
      </w:tr>
      <w:tr w:rsidRPr="00517245" w:rsidR="00517245" w:rsidTr="00687C04" w14:paraId="1D7B9FC7" w14:textId="77777777">
        <w:trPr>
          <w:jc w:val="center"/>
        </w:trPr>
        <w:tc>
          <w:tcPr>
            <w:tcW w:w="1082" w:type="dxa"/>
            <w:shd w:val="clear" w:color="auto" w:fill="2F5496" w:themeFill="accent1" w:themeFillShade="BF"/>
          </w:tcPr>
          <w:p w:rsidRPr="00517245" w:rsidR="00517245" w:rsidP="00517245" w:rsidRDefault="00517245" w14:paraId="2FEB3A0D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color w:val="FFFFFF" w:themeColor="background1"/>
                <w:sz w:val="20"/>
                <w:szCs w:val="20"/>
              </w:rPr>
              <w:t>KISM</w:t>
            </w:r>
          </w:p>
        </w:tc>
        <w:tc>
          <w:tcPr>
            <w:tcW w:w="1082" w:type="dxa"/>
          </w:tcPr>
          <w:p w:rsidRPr="00517245" w:rsidR="00517245" w:rsidP="00517245" w:rsidRDefault="00517245" w14:paraId="6E1EDF02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82" w:type="dxa"/>
          </w:tcPr>
          <w:p w:rsidRPr="00517245" w:rsidR="00517245" w:rsidP="00517245" w:rsidRDefault="00517245" w14:paraId="315E4B36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82" w:type="dxa"/>
          </w:tcPr>
          <w:p w:rsidRPr="00517245" w:rsidR="00517245" w:rsidP="00517245" w:rsidRDefault="00517245" w14:paraId="09781749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82" w:type="dxa"/>
          </w:tcPr>
          <w:p w:rsidRPr="00517245" w:rsidR="00517245" w:rsidP="00517245" w:rsidRDefault="00517245" w14:paraId="5F21F5A1" w14:textId="77777777">
            <w:pPr>
              <w:spacing w:line="36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082" w:type="dxa"/>
          </w:tcPr>
          <w:p w:rsidRPr="00517245" w:rsidR="00517245" w:rsidP="00517245" w:rsidRDefault="00517245" w14:paraId="34D8FE7A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82" w:type="dxa"/>
          </w:tcPr>
          <w:p w:rsidRPr="00517245" w:rsidR="00517245" w:rsidP="00517245" w:rsidRDefault="00517245" w14:paraId="03A751C3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Pr="00517245" w:rsidR="00517245" w:rsidP="00517245" w:rsidRDefault="00517245" w14:paraId="44F8453C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Pr="00517245" w:rsidR="00517245" w:rsidP="00517245" w:rsidRDefault="00517245" w14:paraId="0384ECC3" w14:textId="77777777">
            <w:pPr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517245">
              <w:rPr>
                <w:rFonts w:ascii="Times New Roman" w:hAnsi="Times New Roman" w:eastAsia="Times New Roman" w:cs="Times New Roman"/>
                <w:sz w:val="20"/>
                <w:szCs w:val="20"/>
              </w:rPr>
              <w:t>0%</w:t>
            </w:r>
          </w:p>
        </w:tc>
      </w:tr>
    </w:tbl>
    <w:p w:rsidRPr="0011155D" w:rsidR="00FE0E72" w:rsidP="00517245" w:rsidRDefault="005A2684" w14:paraId="0833E2A1" w14:textId="3CDEF77C">
      <w:pPr>
        <w:spacing w:after="0" w:line="36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111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55D" w:rsidR="003A1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245" w:rsidRDefault="00517245" w14:paraId="5E9ED534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Pr="00517245" w:rsidR="00121974" w:rsidP="00517245" w:rsidRDefault="00A43B95" w14:paraId="269D2EE3" w14:textId="04FC503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245">
        <w:rPr>
          <w:rFonts w:ascii="Times New Roman" w:hAnsi="Times New Roman"/>
          <w:b/>
          <w:bCs/>
          <w:sz w:val="24"/>
          <w:szCs w:val="24"/>
        </w:rPr>
        <w:lastRenderedPageBreak/>
        <w:t>DOBRE PRAKTYKI</w:t>
      </w:r>
      <w:r w:rsidRPr="00517245" w:rsidR="009F1820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517245" w:rsidR="00EB4E76">
        <w:rPr>
          <w:rFonts w:ascii="Times New Roman" w:hAnsi="Times New Roman"/>
          <w:b/>
          <w:bCs/>
          <w:sz w:val="24"/>
          <w:szCs w:val="24"/>
        </w:rPr>
        <w:t> </w:t>
      </w:r>
      <w:r w:rsidRPr="00517245">
        <w:rPr>
          <w:rFonts w:ascii="Times New Roman" w:hAnsi="Times New Roman"/>
          <w:b/>
          <w:bCs/>
          <w:sz w:val="24"/>
          <w:szCs w:val="24"/>
        </w:rPr>
        <w:t xml:space="preserve">ZAKRESIE JAKOŚCI KSZTAŁCENIA </w:t>
      </w:r>
      <w:r w:rsidRPr="00517245" w:rsidR="009A79DD">
        <w:rPr>
          <w:rFonts w:ascii="Times New Roman" w:hAnsi="Times New Roman"/>
          <w:b/>
          <w:bCs/>
          <w:sz w:val="24"/>
          <w:szCs w:val="24"/>
        </w:rPr>
        <w:t>ZA</w:t>
      </w:r>
      <w:r w:rsidRPr="00517245">
        <w:rPr>
          <w:rFonts w:ascii="Times New Roman" w:hAnsi="Times New Roman"/>
          <w:b/>
          <w:bCs/>
          <w:sz w:val="24"/>
          <w:szCs w:val="24"/>
        </w:rPr>
        <w:t>DEKLAROWANE</w:t>
      </w:r>
      <w:r w:rsidRPr="00517245" w:rsidR="009F1820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517245" w:rsidR="00EB4E76">
        <w:rPr>
          <w:rFonts w:ascii="Times New Roman" w:hAnsi="Times New Roman"/>
          <w:b/>
          <w:bCs/>
          <w:sz w:val="24"/>
          <w:szCs w:val="24"/>
        </w:rPr>
        <w:t> </w:t>
      </w:r>
      <w:r w:rsidRPr="00517245">
        <w:rPr>
          <w:rFonts w:ascii="Times New Roman" w:hAnsi="Times New Roman"/>
          <w:b/>
          <w:bCs/>
          <w:sz w:val="24"/>
          <w:szCs w:val="24"/>
        </w:rPr>
        <w:t>WYDZIAŁOWYCH RAPORTACH JAKOŚCI KSZTAŁCENIA (WYBÓR):</w:t>
      </w:r>
    </w:p>
    <w:p w:rsidRPr="00517245" w:rsidR="00517245" w:rsidP="00517245" w:rsidRDefault="00517245" w14:paraId="4C05283B" w14:textId="7777777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Pr="0011155D" w:rsidR="00E66F51" w:rsidP="0011155D" w:rsidRDefault="00E66F51" w14:paraId="1BD6818F" w14:textId="5DDEDBFE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155D">
        <w:rPr>
          <w:rFonts w:ascii="Times New Roman" w:hAnsi="Times New Roman"/>
          <w:b/>
          <w:bCs/>
          <w:sz w:val="24"/>
          <w:szCs w:val="24"/>
        </w:rPr>
        <w:t xml:space="preserve">Dobre praktyki o charakterze </w:t>
      </w:r>
      <w:proofErr w:type="spellStart"/>
      <w:r w:rsidRPr="0011155D">
        <w:rPr>
          <w:rFonts w:ascii="Times New Roman" w:hAnsi="Times New Roman"/>
          <w:b/>
          <w:bCs/>
          <w:sz w:val="24"/>
          <w:szCs w:val="24"/>
        </w:rPr>
        <w:t>ogólnoakademickim</w:t>
      </w:r>
      <w:proofErr w:type="spellEnd"/>
      <w:r w:rsidRPr="0011155D" w:rsidR="00CC3767">
        <w:rPr>
          <w:rFonts w:ascii="Times New Roman" w:hAnsi="Times New Roman"/>
          <w:b/>
          <w:bCs/>
          <w:sz w:val="24"/>
          <w:szCs w:val="24"/>
        </w:rPr>
        <w:t>:</w:t>
      </w:r>
    </w:p>
    <w:p w:rsidRPr="00517245" w:rsidR="00E66F51" w:rsidP="00517245" w:rsidRDefault="00B31839" w14:paraId="115E6631" w14:textId="4E598CF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w</w:t>
      </w:r>
      <w:r w:rsidRPr="00517245" w:rsidR="00E66F51">
        <w:rPr>
          <w:rFonts w:ascii="Times New Roman" w:hAnsi="Times New Roman"/>
          <w:sz w:val="24"/>
          <w:szCs w:val="24"/>
        </w:rPr>
        <w:t>zmacnianie kompetencji metodycznych nauczycieli akademickich poprzez organizowanie kursów doszkalających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E66F51">
        <w:rPr>
          <w:rFonts w:ascii="Times New Roman" w:hAnsi="Times New Roman"/>
          <w:sz w:val="24"/>
          <w:szCs w:val="24"/>
        </w:rPr>
        <w:t>zakresie obsługi platform e-learningowych;</w:t>
      </w:r>
    </w:p>
    <w:p w:rsidRPr="00517245" w:rsidR="00E66F51" w:rsidP="00517245" w:rsidRDefault="4E5BA2AC" w14:paraId="0CC74134" w14:textId="672C2290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 xml:space="preserve">rozwijanie </w:t>
      </w:r>
      <w:r w:rsidRPr="00517245" w:rsidR="00E66F51">
        <w:rPr>
          <w:rFonts w:ascii="Times New Roman" w:hAnsi="Times New Roman"/>
          <w:i/>
          <w:iCs/>
          <w:sz w:val="24"/>
          <w:szCs w:val="24"/>
        </w:rPr>
        <w:t>Systemu Motywacyjnego</w:t>
      </w:r>
      <w:r w:rsidRPr="00517245" w:rsidR="00EB4E76">
        <w:rPr>
          <w:rFonts w:ascii="Times New Roman" w:hAnsi="Times New Roman"/>
          <w:i/>
          <w:iCs/>
          <w:sz w:val="24"/>
          <w:szCs w:val="24"/>
        </w:rPr>
        <w:t xml:space="preserve"> w </w:t>
      </w:r>
      <w:r w:rsidRPr="00517245" w:rsidR="00E66F51">
        <w:rPr>
          <w:rFonts w:ascii="Times New Roman" w:hAnsi="Times New Roman"/>
          <w:i/>
          <w:iCs/>
          <w:sz w:val="24"/>
          <w:szCs w:val="24"/>
        </w:rPr>
        <w:t>Dydaktyce Akademickiej Uniwersytetu Śląskiego</w:t>
      </w:r>
      <w:r w:rsidRPr="00517245" w:rsidR="00EB4E76">
        <w:rPr>
          <w:rFonts w:ascii="Times New Roman" w:hAnsi="Times New Roman"/>
          <w:i/>
          <w:iCs/>
          <w:sz w:val="24"/>
          <w:szCs w:val="24"/>
        </w:rPr>
        <w:t xml:space="preserve"> w </w:t>
      </w:r>
      <w:r w:rsidRPr="00517245" w:rsidR="00E66F51">
        <w:rPr>
          <w:rFonts w:ascii="Times New Roman" w:hAnsi="Times New Roman"/>
          <w:i/>
          <w:iCs/>
          <w:sz w:val="24"/>
          <w:szCs w:val="24"/>
        </w:rPr>
        <w:t>Katowicach</w:t>
      </w:r>
      <w:r w:rsidRPr="00517245" w:rsidR="00E66F5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7245" w:rsidR="00E66F51">
        <w:rPr>
          <w:rFonts w:ascii="Times New Roman" w:hAnsi="Times New Roman"/>
          <w:sz w:val="24"/>
          <w:szCs w:val="24"/>
        </w:rPr>
        <w:t>SMoDA</w:t>
      </w:r>
      <w:proofErr w:type="spellEnd"/>
      <w:r w:rsidRPr="00517245" w:rsidR="00E66F51">
        <w:rPr>
          <w:rFonts w:ascii="Times New Roman" w:hAnsi="Times New Roman"/>
          <w:sz w:val="24"/>
          <w:szCs w:val="24"/>
        </w:rPr>
        <w:t>);</w:t>
      </w:r>
    </w:p>
    <w:p w:rsidRPr="00517245" w:rsidR="658E91E4" w:rsidP="00517245" w:rsidRDefault="658E91E4" w14:paraId="50894C45" w14:textId="0ACBC467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 xml:space="preserve">podnoszenie kompetencji kadry akademickiej w ramach organizowanego z inicjatywy Uniwersytetu Śląskiego </w:t>
      </w:r>
      <w:r w:rsidRPr="00517245">
        <w:rPr>
          <w:rFonts w:ascii="Times New Roman" w:hAnsi="Times New Roman" w:eastAsiaTheme="majorEastAsia"/>
          <w:b/>
          <w:bCs/>
          <w:sz w:val="24"/>
          <w:szCs w:val="24"/>
        </w:rPr>
        <w:t>Międzynarodowego Kongres Jakości Kształcenia</w:t>
      </w:r>
      <w:r w:rsidRPr="00517245" w:rsidR="1F8F6F1B">
        <w:rPr>
          <w:rFonts w:ascii="Times New Roman" w:hAnsi="Times New Roman" w:eastAsiaTheme="majorEastAsia"/>
          <w:sz w:val="24"/>
          <w:szCs w:val="24"/>
        </w:rPr>
        <w:t xml:space="preserve"> s</w:t>
      </w:r>
      <w:r w:rsidRPr="00517245" w:rsidR="07364A76">
        <w:rPr>
          <w:rFonts w:ascii="Times New Roman" w:hAnsi="Times New Roman" w:eastAsiaTheme="majorEastAsia"/>
          <w:sz w:val="24"/>
          <w:szCs w:val="24"/>
        </w:rPr>
        <w:t>przyjającego</w:t>
      </w:r>
      <w:r w:rsidRPr="00517245">
        <w:rPr>
          <w:rFonts w:ascii="Times New Roman" w:hAnsi="Times New Roman" w:eastAsiaTheme="majorEastAsia"/>
          <w:sz w:val="24"/>
          <w:szCs w:val="24"/>
        </w:rPr>
        <w:t xml:space="preserve"> wymianie doświadczeń</w:t>
      </w:r>
      <w:r w:rsidRPr="00517245" w:rsidR="2A9A0D7A">
        <w:rPr>
          <w:rFonts w:ascii="Times New Roman" w:hAnsi="Times New Roman" w:eastAsiaTheme="majorEastAsia"/>
          <w:sz w:val="24"/>
          <w:szCs w:val="24"/>
        </w:rPr>
        <w:t xml:space="preserve"> śląskich uczelni</w:t>
      </w:r>
      <w:r w:rsidRPr="00517245">
        <w:rPr>
          <w:rFonts w:ascii="Times New Roman" w:hAnsi="Times New Roman" w:eastAsiaTheme="majorEastAsia"/>
          <w:sz w:val="24"/>
          <w:szCs w:val="24"/>
        </w:rPr>
        <w:t xml:space="preserve"> oraz realizowaniu wspólnych projektów w zakresie jakości kształcenia. Działania realizowane w ramach Kong</w:t>
      </w:r>
      <w:r w:rsidRPr="00517245" w:rsidR="4627B8E9">
        <w:rPr>
          <w:rFonts w:ascii="Times New Roman" w:hAnsi="Times New Roman" w:eastAsiaTheme="majorEastAsia"/>
          <w:sz w:val="24"/>
          <w:szCs w:val="24"/>
        </w:rPr>
        <w:t>resu przyczyniają się do</w:t>
      </w:r>
      <w:r w:rsidR="0029792E">
        <w:rPr>
          <w:rFonts w:ascii="Times New Roman" w:hAnsi="Times New Roman" w:eastAsiaTheme="majorEastAsia"/>
          <w:sz w:val="24"/>
          <w:szCs w:val="24"/>
        </w:rPr>
        <w:t> </w:t>
      </w:r>
      <w:r w:rsidRPr="00517245">
        <w:rPr>
          <w:rFonts w:ascii="Times New Roman" w:hAnsi="Times New Roman" w:eastAsiaTheme="majorEastAsia"/>
          <w:sz w:val="24"/>
          <w:szCs w:val="24"/>
        </w:rPr>
        <w:t>doskonaleni</w:t>
      </w:r>
      <w:r w:rsidRPr="00517245" w:rsidR="4BBD93E9">
        <w:rPr>
          <w:rFonts w:ascii="Times New Roman" w:hAnsi="Times New Roman" w:eastAsiaTheme="majorEastAsia"/>
          <w:sz w:val="24"/>
          <w:szCs w:val="24"/>
        </w:rPr>
        <w:t>a</w:t>
      </w:r>
      <w:r w:rsidRPr="00517245">
        <w:rPr>
          <w:rFonts w:ascii="Times New Roman" w:hAnsi="Times New Roman" w:eastAsiaTheme="majorEastAsia"/>
          <w:sz w:val="24"/>
          <w:szCs w:val="24"/>
        </w:rPr>
        <w:t xml:space="preserve"> systemów zapewniania jakości kształcenia.</w:t>
      </w:r>
    </w:p>
    <w:p w:rsidRPr="00517245" w:rsidR="6B20598F" w:rsidP="00517245" w:rsidRDefault="6B20598F" w14:paraId="3CD7A460" w14:textId="6B45687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  <w:lang w:val="pl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>udział</w:t>
      </w:r>
      <w:r w:rsidRPr="00517245">
        <w:rPr>
          <w:rFonts w:ascii="Times New Roman" w:hAnsi="Times New Roman" w:eastAsiaTheme="majorEastAsia"/>
          <w:sz w:val="24"/>
          <w:szCs w:val="24"/>
          <w:lang w:val="pl"/>
        </w:rPr>
        <w:t xml:space="preserve"> Uniwersytetu Śląskiego w sojuszu Transform4Europe, co sprzyja umiędzynarodowieniu</w:t>
      </w:r>
      <w:r w:rsidRPr="00517245" w:rsidR="22027A81">
        <w:rPr>
          <w:rFonts w:ascii="Times New Roman" w:hAnsi="Times New Roman" w:eastAsiaTheme="majorEastAsia"/>
          <w:sz w:val="24"/>
          <w:szCs w:val="24"/>
          <w:lang w:val="pl"/>
        </w:rPr>
        <w:t>;</w:t>
      </w:r>
    </w:p>
    <w:p w:rsidRPr="00517245" w:rsidR="00286C8F" w:rsidP="00517245" w:rsidRDefault="00B31839" w14:paraId="1CA42FAC" w14:textId="5F1E407D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p</w:t>
      </w:r>
      <w:r w:rsidRPr="00517245" w:rsidR="00286C8F">
        <w:rPr>
          <w:rFonts w:ascii="Times New Roman" w:hAnsi="Times New Roman"/>
          <w:sz w:val="24"/>
          <w:szCs w:val="24"/>
        </w:rPr>
        <w:t xml:space="preserve">rzeprowadzenie </w:t>
      </w:r>
      <w:r w:rsidRPr="00517245" w:rsidR="587E4A05">
        <w:rPr>
          <w:rFonts w:ascii="Times New Roman" w:hAnsi="Times New Roman"/>
          <w:sz w:val="24"/>
          <w:szCs w:val="24"/>
        </w:rPr>
        <w:t xml:space="preserve">kolejnej </w:t>
      </w:r>
      <w:r w:rsidRPr="00517245" w:rsidR="00286C8F">
        <w:rPr>
          <w:rFonts w:ascii="Times New Roman" w:hAnsi="Times New Roman"/>
          <w:sz w:val="24"/>
          <w:szCs w:val="24"/>
        </w:rPr>
        <w:t>edycji konkursu na projekt</w:t>
      </w:r>
      <w:r w:rsidRPr="00517245" w:rsidR="005A2684">
        <w:rPr>
          <w:rFonts w:ascii="Times New Roman" w:hAnsi="Times New Roman"/>
          <w:sz w:val="24"/>
          <w:szCs w:val="24"/>
        </w:rPr>
        <w:t>y</w:t>
      </w:r>
      <w:r w:rsidRPr="00517245" w:rsidR="00286C8F">
        <w:rPr>
          <w:rFonts w:ascii="Times New Roman" w:hAnsi="Times New Roman"/>
          <w:sz w:val="24"/>
          <w:szCs w:val="24"/>
        </w:rPr>
        <w:t xml:space="preserve"> modułów do realizacji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286C8F">
        <w:rPr>
          <w:rFonts w:ascii="Times New Roman" w:hAnsi="Times New Roman"/>
          <w:sz w:val="24"/>
          <w:szCs w:val="24"/>
        </w:rPr>
        <w:t xml:space="preserve">ramach </w:t>
      </w:r>
      <w:r w:rsidRPr="00517245" w:rsidR="00286C8F">
        <w:rPr>
          <w:rFonts w:ascii="Times New Roman" w:hAnsi="Times New Roman"/>
          <w:i/>
          <w:iCs/>
          <w:sz w:val="24"/>
          <w:szCs w:val="24"/>
        </w:rPr>
        <w:t>Ogólnoakademickiej Oferty Dydaktycznej</w:t>
      </w:r>
      <w:r w:rsidRPr="00517245" w:rsidR="00286C8F">
        <w:rPr>
          <w:rFonts w:ascii="Times New Roman" w:hAnsi="Times New Roman"/>
          <w:sz w:val="24"/>
          <w:szCs w:val="24"/>
        </w:rPr>
        <w:t xml:space="preserve"> (OOD) dla studiów II stopnia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 w:rsidR="00286C8F">
        <w:rPr>
          <w:rFonts w:ascii="Times New Roman" w:hAnsi="Times New Roman"/>
          <w:sz w:val="24"/>
          <w:szCs w:val="24"/>
        </w:rPr>
        <w:t>wyłonienie najlepszych 70 modułów realizowanych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286C8F">
        <w:rPr>
          <w:rFonts w:ascii="Times New Roman" w:hAnsi="Times New Roman"/>
          <w:sz w:val="24"/>
          <w:szCs w:val="24"/>
        </w:rPr>
        <w:t>kolejnym roku akademickim;</w:t>
      </w:r>
    </w:p>
    <w:p w:rsidRPr="00517245" w:rsidR="7776D5B5" w:rsidP="00517245" w:rsidRDefault="7776D5B5" w14:paraId="5D947A8E" w14:textId="17E5F4AE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 xml:space="preserve">zastosowanie zasad projektowania uniwersalnego w wybranych modułach zajęć;  </w:t>
      </w:r>
    </w:p>
    <w:p w:rsidRPr="00517245" w:rsidR="00286C8F" w:rsidP="00517245" w:rsidRDefault="00B31839" w14:paraId="2F17B89D" w14:textId="61927274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>r</w:t>
      </w:r>
      <w:r w:rsidRPr="00517245" w:rsidR="00286C8F">
        <w:rPr>
          <w:rFonts w:ascii="Times New Roman" w:hAnsi="Times New Roman" w:eastAsiaTheme="majorEastAsia"/>
          <w:sz w:val="24"/>
          <w:szCs w:val="24"/>
        </w:rPr>
        <w:t>ealizacja międzynarodowych projektów edukacyjnych</w:t>
      </w:r>
      <w:r w:rsidRPr="00517245" w:rsidR="00EB4E76">
        <w:rPr>
          <w:rFonts w:ascii="Times New Roman" w:hAnsi="Times New Roman" w:eastAsiaTheme="majorEastAsia"/>
          <w:sz w:val="24"/>
          <w:szCs w:val="24"/>
        </w:rPr>
        <w:t xml:space="preserve"> w </w:t>
      </w:r>
      <w:r w:rsidRPr="00517245" w:rsidR="00286C8F">
        <w:rPr>
          <w:rFonts w:ascii="Times New Roman" w:hAnsi="Times New Roman" w:eastAsiaTheme="majorEastAsia"/>
          <w:sz w:val="24"/>
          <w:szCs w:val="24"/>
        </w:rPr>
        <w:t>ramach programów Erasmus+</w:t>
      </w:r>
      <w:r w:rsidRPr="00517245" w:rsidR="00EB4E76">
        <w:rPr>
          <w:rFonts w:ascii="Times New Roman" w:hAnsi="Times New Roman" w:eastAsiaTheme="majorEastAsia"/>
          <w:sz w:val="24"/>
          <w:szCs w:val="24"/>
        </w:rPr>
        <w:t xml:space="preserve"> i </w:t>
      </w:r>
      <w:r w:rsidRPr="00517245" w:rsidR="00286C8F">
        <w:rPr>
          <w:rFonts w:ascii="Times New Roman" w:hAnsi="Times New Roman" w:eastAsiaTheme="majorEastAsia"/>
          <w:sz w:val="24"/>
          <w:szCs w:val="24"/>
        </w:rPr>
        <w:t>NAWA;</w:t>
      </w:r>
    </w:p>
    <w:p w:rsidRPr="00517245" w:rsidR="00286C8F" w:rsidP="00517245" w:rsidRDefault="17232F37" w14:paraId="544AAA3F" w14:textId="6AF12E53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>włączanie studentów w prace badawczo-naukowe i projekty grantowe już od wczesnego etapu kształcenia;</w:t>
      </w:r>
    </w:p>
    <w:p w:rsidRPr="00517245" w:rsidR="00286C8F" w:rsidP="00517245" w:rsidRDefault="17232F37" w14:paraId="2F2592BF" w14:textId="306E54B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 xml:space="preserve">wykorzystywanie nowoczesnych metod w kształceniu (laboratoria naukowe, elektroniczne platformy komunikacyjne, zajęcia projektowe i warsztatowe) oraz aktywnych metod nauczania (praca projektowa, studia przypadków, symulacje i dyskusje); </w:t>
      </w:r>
    </w:p>
    <w:p w:rsidRPr="00517245" w:rsidR="00286C8F" w:rsidP="00517245" w:rsidRDefault="17232F37" w14:paraId="4CFAF548" w14:textId="7395CDEF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 xml:space="preserve">zapewnienie studentom dostępu do kursów, również certyfikowanych oraz warsztatów organizowanych przez firmy z otoczenia społeczno-gospodarczego; </w:t>
      </w:r>
    </w:p>
    <w:p w:rsidRPr="00517245" w:rsidR="00286C8F" w:rsidP="00517245" w:rsidRDefault="00B31839" w14:paraId="51EA501F" w14:textId="39C368B5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lastRenderedPageBreak/>
        <w:t>w</w:t>
      </w:r>
      <w:r w:rsidRPr="00517245" w:rsidR="00CC3767">
        <w:rPr>
          <w:rFonts w:ascii="Times New Roman" w:hAnsi="Times New Roman" w:eastAsiaTheme="majorEastAsia"/>
          <w:sz w:val="24"/>
          <w:szCs w:val="24"/>
        </w:rPr>
        <w:t>spieranie mo</w:t>
      </w:r>
      <w:r w:rsidRPr="00517245" w:rsidR="00CC3767">
        <w:rPr>
          <w:rFonts w:ascii="Times New Roman" w:hAnsi="Times New Roman"/>
          <w:sz w:val="24"/>
          <w:szCs w:val="24"/>
        </w:rPr>
        <w:t>bilności akademickiej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CC3767">
        <w:rPr>
          <w:rFonts w:ascii="Times New Roman" w:hAnsi="Times New Roman"/>
          <w:sz w:val="24"/>
          <w:szCs w:val="24"/>
        </w:rPr>
        <w:t>formie wyjazdów nauczycieli akademickich (Erasmus),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9A79DD">
        <w:rPr>
          <w:rFonts w:ascii="Times New Roman" w:hAnsi="Times New Roman"/>
          <w:sz w:val="24"/>
          <w:szCs w:val="24"/>
        </w:rPr>
        <w:t xml:space="preserve">charakterze </w:t>
      </w:r>
      <w:r w:rsidRPr="00517245" w:rsidR="00CC3767">
        <w:rPr>
          <w:rFonts w:ascii="Times New Roman" w:hAnsi="Times New Roman"/>
          <w:sz w:val="24"/>
          <w:szCs w:val="24"/>
        </w:rPr>
        <w:t>profesora wizytującego etc.</w:t>
      </w:r>
      <w:r w:rsidRPr="00517245" w:rsidR="005221DB">
        <w:rPr>
          <w:rFonts w:ascii="Times New Roman" w:hAnsi="Times New Roman"/>
          <w:sz w:val="24"/>
          <w:szCs w:val="24"/>
        </w:rPr>
        <w:t>;</w:t>
      </w:r>
    </w:p>
    <w:p w:rsidRPr="00517245" w:rsidR="005221DB" w:rsidP="00517245" w:rsidRDefault="009A79DD" w14:paraId="7D855C55" w14:textId="1CBA0291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upowszechnienie</w:t>
      </w:r>
      <w:r w:rsidRPr="00517245" w:rsidR="005A2684">
        <w:rPr>
          <w:rFonts w:ascii="Times New Roman" w:hAnsi="Times New Roman"/>
          <w:sz w:val="24"/>
          <w:szCs w:val="24"/>
        </w:rPr>
        <w:t xml:space="preserve"> metody </w:t>
      </w:r>
      <w:r w:rsidRPr="00517245" w:rsidR="00BD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245" w:rsidR="005221DB">
        <w:rPr>
          <w:rFonts w:ascii="Times New Roman" w:hAnsi="Times New Roman"/>
          <w:i/>
          <w:iCs/>
          <w:sz w:val="24"/>
          <w:szCs w:val="24"/>
        </w:rPr>
        <w:t>blended</w:t>
      </w:r>
      <w:proofErr w:type="spellEnd"/>
      <w:r w:rsidRPr="00517245" w:rsidR="005221DB">
        <w:rPr>
          <w:rFonts w:ascii="Times New Roman" w:hAnsi="Times New Roman"/>
          <w:i/>
          <w:iCs/>
          <w:sz w:val="24"/>
          <w:szCs w:val="24"/>
        </w:rPr>
        <w:t xml:space="preserve"> learning</w:t>
      </w:r>
      <w:r w:rsidRPr="00517245" w:rsidR="00EB4E76">
        <w:rPr>
          <w:rFonts w:ascii="Times New Roman" w:hAnsi="Times New Roman"/>
          <w:i/>
          <w:iCs/>
          <w:sz w:val="24"/>
          <w:szCs w:val="24"/>
        </w:rPr>
        <w:t xml:space="preserve"> w </w:t>
      </w:r>
      <w:r w:rsidRPr="00517245">
        <w:rPr>
          <w:rFonts w:ascii="Times New Roman" w:hAnsi="Times New Roman"/>
          <w:sz w:val="24"/>
          <w:szCs w:val="24"/>
        </w:rPr>
        <w:t>dydaktyce uczelnianej</w:t>
      </w:r>
      <w:r w:rsidRPr="00517245" w:rsidR="005221DB">
        <w:rPr>
          <w:rFonts w:ascii="Times New Roman" w:hAnsi="Times New Roman"/>
          <w:sz w:val="24"/>
          <w:szCs w:val="24"/>
        </w:rPr>
        <w:t>;</w:t>
      </w:r>
    </w:p>
    <w:p w:rsidRPr="00517245" w:rsidR="005221DB" w:rsidP="00517245" w:rsidRDefault="009A79DD" w14:paraId="24B84E8B" w14:textId="21A4BD7C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 xml:space="preserve">usprawnienie </w:t>
      </w:r>
      <w:r w:rsidRPr="00517245" w:rsidR="00B31839">
        <w:rPr>
          <w:rFonts w:ascii="Times New Roman" w:hAnsi="Times New Roman"/>
          <w:sz w:val="24"/>
          <w:szCs w:val="24"/>
        </w:rPr>
        <w:t>m</w:t>
      </w:r>
      <w:r w:rsidRPr="00517245" w:rsidR="005221DB">
        <w:rPr>
          <w:rFonts w:ascii="Times New Roman" w:hAnsi="Times New Roman"/>
          <w:sz w:val="24"/>
          <w:szCs w:val="24"/>
        </w:rPr>
        <w:t>onitorowani</w:t>
      </w:r>
      <w:r w:rsidRPr="00517245">
        <w:rPr>
          <w:rFonts w:ascii="Times New Roman" w:hAnsi="Times New Roman"/>
          <w:sz w:val="24"/>
          <w:szCs w:val="24"/>
        </w:rPr>
        <w:t>a</w:t>
      </w:r>
      <w:r w:rsidRPr="00517245" w:rsidR="005221DB">
        <w:rPr>
          <w:rFonts w:ascii="Times New Roman" w:hAnsi="Times New Roman"/>
          <w:sz w:val="24"/>
          <w:szCs w:val="24"/>
        </w:rPr>
        <w:t xml:space="preserve"> poziomu wypełniania sylabusów, terminowości</w:t>
      </w:r>
      <w:r w:rsidRPr="00517245" w:rsidR="00751F34">
        <w:rPr>
          <w:rFonts w:ascii="Times New Roman" w:hAnsi="Times New Roman"/>
          <w:sz w:val="24"/>
          <w:szCs w:val="24"/>
        </w:rPr>
        <w:t xml:space="preserve"> </w:t>
      </w:r>
      <w:r w:rsidRPr="00517245" w:rsidR="005A2684">
        <w:rPr>
          <w:rFonts w:ascii="Times New Roman" w:hAnsi="Times New Roman"/>
          <w:sz w:val="24"/>
          <w:szCs w:val="24"/>
        </w:rPr>
        <w:t xml:space="preserve"> ich</w:t>
      </w:r>
      <w:r w:rsidRPr="00517245" w:rsidR="005221DB">
        <w:rPr>
          <w:rFonts w:ascii="Times New Roman" w:hAnsi="Times New Roman"/>
          <w:sz w:val="24"/>
          <w:szCs w:val="24"/>
        </w:rPr>
        <w:t xml:space="preserve"> zatwierdzani</w:t>
      </w:r>
      <w:r w:rsidRPr="00517245" w:rsidR="005A2684">
        <w:rPr>
          <w:rFonts w:ascii="Times New Roman" w:hAnsi="Times New Roman"/>
          <w:sz w:val="24"/>
          <w:szCs w:val="24"/>
        </w:rPr>
        <w:t>a</w:t>
      </w:r>
      <w:r w:rsidRPr="00517245" w:rsidR="005221DB">
        <w:rPr>
          <w:rFonts w:ascii="Times New Roman" w:hAnsi="Times New Roman"/>
          <w:sz w:val="24"/>
          <w:szCs w:val="24"/>
        </w:rPr>
        <w:t xml:space="preserve"> oraz aktualizowani</w:t>
      </w:r>
      <w:r w:rsidRPr="00517245" w:rsidR="005A2684">
        <w:rPr>
          <w:rFonts w:ascii="Times New Roman" w:hAnsi="Times New Roman"/>
          <w:sz w:val="24"/>
          <w:szCs w:val="24"/>
        </w:rPr>
        <w:t>a</w:t>
      </w:r>
      <w:r w:rsidRPr="00517245" w:rsidR="005221DB">
        <w:rPr>
          <w:rFonts w:ascii="Times New Roman" w:hAnsi="Times New Roman"/>
          <w:sz w:val="24"/>
          <w:szCs w:val="24"/>
        </w:rPr>
        <w:t>;</w:t>
      </w:r>
    </w:p>
    <w:p w:rsidRPr="00517245" w:rsidR="005221DB" w:rsidP="00517245" w:rsidRDefault="005221DB" w14:paraId="4DA9EA1C" w14:textId="166448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organizacja tutoringu jako formy wsparcia studentów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>
        <w:rPr>
          <w:rFonts w:ascii="Times New Roman" w:hAnsi="Times New Roman"/>
          <w:sz w:val="24"/>
          <w:szCs w:val="24"/>
        </w:rPr>
        <w:t>najlepszymi wynikami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zaangażowanymi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>
        <w:rPr>
          <w:rFonts w:ascii="Times New Roman" w:hAnsi="Times New Roman"/>
          <w:sz w:val="24"/>
          <w:szCs w:val="24"/>
        </w:rPr>
        <w:t>badania naukowe;</w:t>
      </w:r>
    </w:p>
    <w:p w:rsidRPr="00517245" w:rsidR="005221DB" w:rsidP="00517245" w:rsidRDefault="00B31839" w14:paraId="0A87162F" w14:textId="251AF7FA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z</w:t>
      </w:r>
      <w:r w:rsidRPr="00517245" w:rsidR="005221DB">
        <w:rPr>
          <w:rFonts w:ascii="Times New Roman" w:hAnsi="Times New Roman"/>
          <w:sz w:val="24"/>
          <w:szCs w:val="24"/>
        </w:rPr>
        <w:t>apewnienie studentom kompleksowego wsparcia psychologicznego za pośrednictwem Centrum Obsługi S</w:t>
      </w:r>
      <w:r w:rsidRPr="00517245" w:rsidR="00843DDE">
        <w:rPr>
          <w:rFonts w:ascii="Times New Roman" w:hAnsi="Times New Roman"/>
          <w:sz w:val="24"/>
          <w:szCs w:val="24"/>
        </w:rPr>
        <w:t>tudentów (w tym zapewnienie wsp</w:t>
      </w:r>
      <w:r w:rsidRPr="00517245" w:rsidR="005221DB">
        <w:rPr>
          <w:rFonts w:ascii="Times New Roman" w:hAnsi="Times New Roman"/>
          <w:sz w:val="24"/>
          <w:szCs w:val="24"/>
        </w:rPr>
        <w:t>a</w:t>
      </w:r>
      <w:r w:rsidRPr="00517245" w:rsidR="00843DDE">
        <w:rPr>
          <w:rFonts w:ascii="Times New Roman" w:hAnsi="Times New Roman"/>
          <w:sz w:val="24"/>
          <w:szCs w:val="24"/>
        </w:rPr>
        <w:t>r</w:t>
      </w:r>
      <w:r w:rsidRPr="00517245" w:rsidR="005221DB">
        <w:rPr>
          <w:rFonts w:ascii="Times New Roman" w:hAnsi="Times New Roman"/>
          <w:sz w:val="24"/>
          <w:szCs w:val="24"/>
        </w:rPr>
        <w:t>cia dostosowanego do warunków kszt</w:t>
      </w:r>
      <w:r w:rsidRPr="00517245" w:rsidR="00843DDE">
        <w:rPr>
          <w:rFonts w:ascii="Times New Roman" w:hAnsi="Times New Roman"/>
          <w:sz w:val="24"/>
          <w:szCs w:val="24"/>
        </w:rPr>
        <w:t xml:space="preserve">ałcenia </w:t>
      </w:r>
      <w:r w:rsidRPr="00517245" w:rsidR="005221DB">
        <w:rPr>
          <w:rFonts w:ascii="Times New Roman" w:hAnsi="Times New Roman"/>
          <w:sz w:val="24"/>
          <w:szCs w:val="24"/>
        </w:rPr>
        <w:t>zdalnego</w:t>
      </w:r>
      <w:r w:rsidRPr="00517245" w:rsidR="009A79DD">
        <w:rPr>
          <w:rFonts w:ascii="Times New Roman" w:hAnsi="Times New Roman"/>
          <w:sz w:val="24"/>
          <w:szCs w:val="24"/>
        </w:rPr>
        <w:t xml:space="preserve"> oraz</w:t>
      </w:r>
      <w:r w:rsidRPr="00517245" w:rsidR="005221DB">
        <w:rPr>
          <w:rFonts w:ascii="Times New Roman" w:hAnsi="Times New Roman"/>
          <w:sz w:val="24"/>
          <w:szCs w:val="24"/>
        </w:rPr>
        <w:t xml:space="preserve"> osób nieposługujących się językiem polskim);</w:t>
      </w:r>
    </w:p>
    <w:p w:rsidRPr="00517245" w:rsidR="1AA0056E" w:rsidP="00517245" w:rsidRDefault="48182273" w14:paraId="497CE587" w14:textId="7C24C29B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 xml:space="preserve">organizacja </w:t>
      </w:r>
      <w:r w:rsidRPr="00517245" w:rsidR="7597EDE8">
        <w:rPr>
          <w:rFonts w:ascii="Times New Roman" w:hAnsi="Times New Roman"/>
          <w:sz w:val="24"/>
          <w:szCs w:val="24"/>
        </w:rPr>
        <w:t>działań promujących kierunek (Śląski Festiwal Nauki, spotkania</w:t>
      </w:r>
      <w:r w:rsidRPr="00517245" w:rsidR="432F187D">
        <w:rPr>
          <w:rFonts w:ascii="Times New Roman" w:hAnsi="Times New Roman"/>
          <w:sz w:val="24"/>
          <w:szCs w:val="24"/>
        </w:rPr>
        <w:t xml:space="preserve"> w </w:t>
      </w:r>
      <w:r w:rsidRPr="00517245" w:rsidR="7597EDE8">
        <w:rPr>
          <w:rFonts w:ascii="Times New Roman" w:hAnsi="Times New Roman"/>
          <w:sz w:val="24"/>
          <w:szCs w:val="24"/>
        </w:rPr>
        <w:t>szkołach, Dni Otwarte itp.)</w:t>
      </w:r>
      <w:r w:rsidRPr="00517245" w:rsidR="0BF0FC54">
        <w:rPr>
          <w:rFonts w:ascii="Times New Roman" w:hAnsi="Times New Roman"/>
          <w:sz w:val="24"/>
          <w:szCs w:val="24"/>
        </w:rPr>
        <w:t>, promocja studiów przez ambasadorów kierunków</w:t>
      </w:r>
      <w:r w:rsidRPr="00517245" w:rsidR="7597EDE8">
        <w:rPr>
          <w:rFonts w:ascii="Times New Roman" w:hAnsi="Times New Roman"/>
          <w:sz w:val="24"/>
          <w:szCs w:val="24"/>
        </w:rPr>
        <w:t>.</w:t>
      </w:r>
    </w:p>
    <w:p w:rsidRPr="00517245" w:rsidR="00286C8F" w:rsidP="0011155D" w:rsidRDefault="00286C8F" w14:paraId="7DDD6FE3" w14:textId="7777777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517245" w:rsidR="00CC3767" w:rsidP="0011155D" w:rsidRDefault="00286C8F" w14:paraId="2C0CB239" w14:textId="3F549E09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17245">
        <w:rPr>
          <w:rFonts w:ascii="Times New Roman" w:hAnsi="Times New Roman"/>
          <w:b/>
          <w:bCs/>
          <w:sz w:val="24"/>
          <w:szCs w:val="24"/>
        </w:rPr>
        <w:t>Dobre praktyki zgłaszane przez jednostki:</w:t>
      </w:r>
    </w:p>
    <w:p w:rsidRPr="00517245" w:rsidR="00CC3767" w:rsidP="00517245" w:rsidRDefault="00BD0D88" w14:paraId="523AC356" w14:textId="080FBFCD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245">
        <w:rPr>
          <w:rFonts w:ascii="Times New Roman" w:hAnsi="Times New Roman"/>
          <w:bCs/>
          <w:sz w:val="24"/>
          <w:szCs w:val="24"/>
        </w:rPr>
        <w:t>p</w:t>
      </w:r>
      <w:r w:rsidRPr="00517245" w:rsidR="00CC3767">
        <w:rPr>
          <w:rFonts w:ascii="Times New Roman" w:hAnsi="Times New Roman"/>
          <w:bCs/>
          <w:sz w:val="24"/>
          <w:szCs w:val="24"/>
        </w:rPr>
        <w:t>rowadzenie praktyk</w:t>
      </w:r>
      <w:r w:rsidRPr="00517245" w:rsidR="00EB4E76">
        <w:rPr>
          <w:rFonts w:ascii="Times New Roman" w:hAnsi="Times New Roman"/>
          <w:bCs/>
          <w:sz w:val="24"/>
          <w:szCs w:val="24"/>
        </w:rPr>
        <w:t xml:space="preserve"> w </w:t>
      </w:r>
      <w:r w:rsidRPr="00517245" w:rsidR="00CC3767">
        <w:rPr>
          <w:rFonts w:ascii="Times New Roman" w:hAnsi="Times New Roman"/>
          <w:bCs/>
          <w:sz w:val="24"/>
          <w:szCs w:val="24"/>
        </w:rPr>
        <w:t>klinikach</w:t>
      </w:r>
      <w:r w:rsidRPr="00517245" w:rsidR="00EB4E76">
        <w:rPr>
          <w:rFonts w:ascii="Times New Roman" w:hAnsi="Times New Roman"/>
          <w:bCs/>
          <w:sz w:val="24"/>
          <w:szCs w:val="24"/>
        </w:rPr>
        <w:t xml:space="preserve"> i </w:t>
      </w:r>
      <w:r w:rsidRPr="00517245" w:rsidR="00CC3767">
        <w:rPr>
          <w:rFonts w:ascii="Times New Roman" w:hAnsi="Times New Roman"/>
          <w:bCs/>
          <w:sz w:val="24"/>
          <w:szCs w:val="24"/>
        </w:rPr>
        <w:t>instytutach współpracujących</w:t>
      </w:r>
      <w:r w:rsidRPr="00517245" w:rsidR="00EB4E76">
        <w:rPr>
          <w:rFonts w:ascii="Times New Roman" w:hAnsi="Times New Roman"/>
          <w:bCs/>
          <w:sz w:val="24"/>
          <w:szCs w:val="24"/>
        </w:rPr>
        <w:t xml:space="preserve"> z </w:t>
      </w:r>
      <w:r w:rsidRPr="00517245" w:rsidR="00CC3767">
        <w:rPr>
          <w:rFonts w:ascii="Times New Roman" w:hAnsi="Times New Roman"/>
          <w:bCs/>
          <w:sz w:val="24"/>
          <w:szCs w:val="24"/>
        </w:rPr>
        <w:t xml:space="preserve">kierunkiem </w:t>
      </w:r>
      <w:r w:rsidRPr="00517245" w:rsidR="009A79DD">
        <w:rPr>
          <w:rFonts w:ascii="Times New Roman" w:hAnsi="Times New Roman"/>
          <w:bCs/>
          <w:sz w:val="24"/>
          <w:szCs w:val="24"/>
        </w:rPr>
        <w:t>f</w:t>
      </w:r>
      <w:r w:rsidRPr="00517245" w:rsidR="00CC3767">
        <w:rPr>
          <w:rFonts w:ascii="Times New Roman" w:hAnsi="Times New Roman"/>
          <w:bCs/>
          <w:sz w:val="24"/>
          <w:szCs w:val="24"/>
        </w:rPr>
        <w:t>izyka medyczna;</w:t>
      </w:r>
    </w:p>
    <w:p w:rsidRPr="00517245" w:rsidR="00CC3767" w:rsidP="00517245" w:rsidRDefault="00BD0D88" w14:paraId="00CD9BC3" w14:textId="60CBD6DD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245">
        <w:rPr>
          <w:rFonts w:ascii="Times New Roman" w:hAnsi="Times New Roman"/>
          <w:bCs/>
          <w:sz w:val="24"/>
          <w:szCs w:val="24"/>
        </w:rPr>
        <w:t>p</w:t>
      </w:r>
      <w:r w:rsidRPr="00517245" w:rsidR="00CC3767">
        <w:rPr>
          <w:rFonts w:ascii="Times New Roman" w:hAnsi="Times New Roman"/>
          <w:bCs/>
          <w:sz w:val="24"/>
          <w:szCs w:val="24"/>
        </w:rPr>
        <w:t xml:space="preserve">odpisanie umów </w:t>
      </w:r>
      <w:r w:rsidRPr="00517245" w:rsidR="009A79DD">
        <w:rPr>
          <w:rFonts w:ascii="Times New Roman" w:hAnsi="Times New Roman"/>
          <w:bCs/>
          <w:sz w:val="24"/>
          <w:szCs w:val="24"/>
        </w:rPr>
        <w:t xml:space="preserve">o </w:t>
      </w:r>
      <w:r w:rsidRPr="00517245" w:rsidR="00CC3767">
        <w:rPr>
          <w:rFonts w:ascii="Times New Roman" w:hAnsi="Times New Roman"/>
          <w:bCs/>
          <w:sz w:val="24"/>
          <w:szCs w:val="24"/>
        </w:rPr>
        <w:t>współpracy naukowo-dydaktycznej</w:t>
      </w:r>
      <w:r w:rsidRPr="00517245" w:rsidR="00EB4E76">
        <w:rPr>
          <w:rFonts w:ascii="Times New Roman" w:hAnsi="Times New Roman"/>
          <w:bCs/>
          <w:sz w:val="24"/>
          <w:szCs w:val="24"/>
        </w:rPr>
        <w:t xml:space="preserve"> z </w:t>
      </w:r>
      <w:r w:rsidRPr="00517245" w:rsidR="00CC3767">
        <w:rPr>
          <w:rFonts w:ascii="Times New Roman" w:hAnsi="Times New Roman"/>
          <w:bCs/>
          <w:sz w:val="24"/>
          <w:szCs w:val="24"/>
        </w:rPr>
        <w:t>placówkami medycznymi;</w:t>
      </w:r>
    </w:p>
    <w:p w:rsidRPr="00517245" w:rsidR="00CC3767" w:rsidP="00517245" w:rsidRDefault="00B31839" w14:paraId="465A3CF1" w14:textId="750536A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i</w:t>
      </w:r>
      <w:r w:rsidRPr="00517245" w:rsidR="00CC3767">
        <w:rPr>
          <w:rFonts w:ascii="Times New Roman" w:hAnsi="Times New Roman"/>
          <w:sz w:val="24"/>
          <w:szCs w:val="24"/>
        </w:rPr>
        <w:t>ntegracja różnych środowisk naukowych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 w:rsidR="00CC3767">
        <w:rPr>
          <w:rFonts w:ascii="Times New Roman" w:hAnsi="Times New Roman"/>
          <w:sz w:val="24"/>
          <w:szCs w:val="24"/>
        </w:rPr>
        <w:t>dydaktycznych zwiększająca interdyscyplinarność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 w:rsidR="00CC3767">
        <w:rPr>
          <w:rFonts w:ascii="Times New Roman" w:hAnsi="Times New Roman"/>
          <w:sz w:val="24"/>
          <w:szCs w:val="24"/>
        </w:rPr>
        <w:t>nowoczesność kierunku przez powierzanie zajęć pracownikom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 w:rsidR="00CC3767">
        <w:rPr>
          <w:rFonts w:ascii="Times New Roman" w:hAnsi="Times New Roman"/>
          <w:sz w:val="24"/>
          <w:szCs w:val="24"/>
        </w:rPr>
        <w:t>innych wydziałów (Wydziału Nauk Przyrodniczych, Wydziału Nauk Społecznych, Wydziału Nauk ścisłych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 w:rsidR="00CC3767">
        <w:rPr>
          <w:rFonts w:ascii="Times New Roman" w:hAnsi="Times New Roman"/>
          <w:sz w:val="24"/>
          <w:szCs w:val="24"/>
        </w:rPr>
        <w:t>Technicznych) oraz innych kierunków;</w:t>
      </w:r>
    </w:p>
    <w:p w:rsidRPr="00517245" w:rsidR="2E7CE8F3" w:rsidP="00517245" w:rsidRDefault="2E7CE8F3" w14:paraId="728C994F" w14:textId="4AA10ADF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>opracowanie i przeprowadzenie badań fokusowych wśród studiujących w zakresie atrakcyjności programu studiów (WH)</w:t>
      </w:r>
      <w:r w:rsidR="0029792E">
        <w:rPr>
          <w:rFonts w:ascii="Times New Roman" w:hAnsi="Times New Roman" w:eastAsiaTheme="majorEastAsia"/>
          <w:sz w:val="24"/>
          <w:szCs w:val="24"/>
        </w:rPr>
        <w:t>;</w:t>
      </w:r>
    </w:p>
    <w:p w:rsidRPr="00517245" w:rsidR="2E7CE8F3" w:rsidP="00517245" w:rsidRDefault="2E7CE8F3" w14:paraId="580C0B8F" w14:textId="1ED3B337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>rekomendowanie wyróżniających się prac dyplomowych do publikacji w Śląskiej Bibliotece Cyfrowej lub wykorzystania jako materiały do przygotowania artykułu naukowego (WH)</w:t>
      </w:r>
      <w:r w:rsidR="0029792E">
        <w:rPr>
          <w:rFonts w:ascii="Times New Roman" w:hAnsi="Times New Roman" w:eastAsiaTheme="majorEastAsia"/>
          <w:sz w:val="24"/>
          <w:szCs w:val="24"/>
        </w:rPr>
        <w:t>;</w:t>
      </w:r>
    </w:p>
    <w:p w:rsidR="2E7CE8F3" w:rsidP="00517245" w:rsidRDefault="2E7CE8F3" w14:paraId="3F260B9F" w14:textId="0FE4984C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>konkurs na najlepszą pracę dyplomową wzmagający mobilizację studentów w wysiłku przygotowania pracy dyplomowej oraz wpływający na widzialność kierunku w ramach Uniwersytetu (WH);</w:t>
      </w:r>
    </w:p>
    <w:p w:rsidRPr="0029792E" w:rsidR="0029792E" w:rsidP="0029792E" w:rsidRDefault="0029792E" w14:paraId="0858212B" w14:textId="6A2C2D4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29792E">
        <w:rPr>
          <w:rFonts w:ascii="Times New Roman" w:hAnsi="Times New Roman" w:eastAsiaTheme="majorEastAsia"/>
          <w:sz w:val="24"/>
          <w:szCs w:val="24"/>
        </w:rPr>
        <w:lastRenderedPageBreak/>
        <w:t>Nagroda im. Prof. Waleriana Pańki dla najlepszego absolwenta WPiA UŚ (nagroda przyznawana co roku najlepszemu studentowi w danym roku akademickim)</w:t>
      </w:r>
      <w:r>
        <w:rPr>
          <w:rFonts w:ascii="Times New Roman" w:hAnsi="Times New Roman" w:eastAsiaTheme="majorEastAsia"/>
          <w:sz w:val="24"/>
          <w:szCs w:val="24"/>
        </w:rPr>
        <w:t>;</w:t>
      </w:r>
    </w:p>
    <w:p w:rsidRPr="00517245" w:rsidR="0029792E" w:rsidP="0029792E" w:rsidRDefault="0029792E" w14:paraId="2B8977B4" w14:textId="45A3323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29792E">
        <w:rPr>
          <w:rFonts w:ascii="Times New Roman" w:hAnsi="Times New Roman" w:eastAsiaTheme="majorEastAsia"/>
          <w:sz w:val="24"/>
          <w:szCs w:val="24"/>
        </w:rPr>
        <w:t xml:space="preserve">Nagroda im. Prof. Oktawii </w:t>
      </w:r>
      <w:proofErr w:type="spellStart"/>
      <w:r w:rsidRPr="0029792E">
        <w:rPr>
          <w:rFonts w:ascii="Times New Roman" w:hAnsi="Times New Roman" w:eastAsiaTheme="majorEastAsia"/>
          <w:sz w:val="24"/>
          <w:szCs w:val="24"/>
        </w:rPr>
        <w:t>Górniok</w:t>
      </w:r>
      <w:proofErr w:type="spellEnd"/>
      <w:r w:rsidRPr="0029792E">
        <w:rPr>
          <w:rFonts w:ascii="Times New Roman" w:hAnsi="Times New Roman" w:eastAsiaTheme="majorEastAsia"/>
          <w:sz w:val="24"/>
          <w:szCs w:val="24"/>
        </w:rPr>
        <w:t xml:space="preserve">  za wybitną pracę magisterską bądź doktorską  z zakresu prawa karnego materialnego, prawa karnego procesowego i kryminologii, obronioną na</w:t>
      </w:r>
      <w:r>
        <w:rPr>
          <w:rFonts w:ascii="Times New Roman" w:hAnsi="Times New Roman" w:eastAsiaTheme="majorEastAsia"/>
          <w:sz w:val="24"/>
          <w:szCs w:val="24"/>
        </w:rPr>
        <w:t> </w:t>
      </w:r>
      <w:r w:rsidRPr="0029792E">
        <w:rPr>
          <w:rFonts w:ascii="Times New Roman" w:hAnsi="Times New Roman" w:eastAsiaTheme="majorEastAsia"/>
          <w:sz w:val="24"/>
          <w:szCs w:val="24"/>
        </w:rPr>
        <w:t>Wydziale Prawa i Administracji Uniwersytetu Śląskiego w Katowicach</w:t>
      </w:r>
      <w:r>
        <w:rPr>
          <w:rFonts w:ascii="Times New Roman" w:hAnsi="Times New Roman" w:eastAsiaTheme="majorEastAsia"/>
          <w:sz w:val="24"/>
          <w:szCs w:val="24"/>
        </w:rPr>
        <w:t>;</w:t>
      </w:r>
    </w:p>
    <w:p w:rsidRPr="00517245" w:rsidR="2E7CE8F3" w:rsidP="00517245" w:rsidRDefault="18EF682D" w14:paraId="07628A64" w14:textId="3BD1D6A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>szeroka oferta zajęć terenowych (ochr</w:t>
      </w:r>
      <w:r w:rsidRPr="00517245" w:rsidR="6301A227">
        <w:rPr>
          <w:rFonts w:ascii="Times New Roman" w:hAnsi="Times New Roman" w:eastAsiaTheme="majorEastAsia"/>
          <w:sz w:val="24"/>
          <w:szCs w:val="24"/>
        </w:rPr>
        <w:t>ona</w:t>
      </w:r>
      <w:r w:rsidRPr="00517245">
        <w:rPr>
          <w:rFonts w:ascii="Times New Roman" w:hAnsi="Times New Roman" w:eastAsiaTheme="majorEastAsia"/>
          <w:sz w:val="24"/>
          <w:szCs w:val="24"/>
        </w:rPr>
        <w:t xml:space="preserve"> środ</w:t>
      </w:r>
      <w:r w:rsidRPr="00517245" w:rsidR="2467A092">
        <w:rPr>
          <w:rFonts w:ascii="Times New Roman" w:hAnsi="Times New Roman" w:eastAsiaTheme="majorEastAsia"/>
          <w:sz w:val="24"/>
          <w:szCs w:val="24"/>
        </w:rPr>
        <w:t>owiska, WNP</w:t>
      </w:r>
      <w:r w:rsidRPr="00517245">
        <w:rPr>
          <w:rFonts w:ascii="Times New Roman" w:hAnsi="Times New Roman" w:eastAsiaTheme="majorEastAsia"/>
          <w:sz w:val="24"/>
          <w:szCs w:val="24"/>
        </w:rPr>
        <w:t>)</w:t>
      </w:r>
      <w:r w:rsidR="0029792E">
        <w:rPr>
          <w:rFonts w:ascii="Times New Roman" w:hAnsi="Times New Roman" w:eastAsiaTheme="majorEastAsia"/>
          <w:sz w:val="24"/>
          <w:szCs w:val="24"/>
        </w:rPr>
        <w:t>;</w:t>
      </w:r>
    </w:p>
    <w:p w:rsidRPr="00517245" w:rsidR="2E7CE8F3" w:rsidP="00517245" w:rsidRDefault="18EF682D" w14:paraId="31DF998F" w14:textId="7C23D685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 xml:space="preserve">doskonale rozwinięta metoda </w:t>
      </w:r>
      <w:proofErr w:type="spellStart"/>
      <w:r w:rsidRPr="00517245">
        <w:rPr>
          <w:rFonts w:ascii="Times New Roman" w:hAnsi="Times New Roman" w:eastAsiaTheme="majorEastAsia"/>
          <w:sz w:val="24"/>
          <w:szCs w:val="24"/>
        </w:rPr>
        <w:t>tutoringowa</w:t>
      </w:r>
      <w:proofErr w:type="spellEnd"/>
      <w:r w:rsidRPr="00517245">
        <w:rPr>
          <w:rFonts w:ascii="Times New Roman" w:hAnsi="Times New Roman" w:eastAsiaTheme="majorEastAsia"/>
          <w:sz w:val="24"/>
          <w:szCs w:val="24"/>
        </w:rPr>
        <w:t xml:space="preserve"> (ochr</w:t>
      </w:r>
      <w:r w:rsidRPr="00517245" w:rsidR="3991A269">
        <w:rPr>
          <w:rFonts w:ascii="Times New Roman" w:hAnsi="Times New Roman" w:eastAsiaTheme="majorEastAsia"/>
          <w:sz w:val="24"/>
          <w:szCs w:val="24"/>
        </w:rPr>
        <w:t>ona</w:t>
      </w:r>
      <w:r w:rsidRPr="00517245">
        <w:rPr>
          <w:rFonts w:ascii="Times New Roman" w:hAnsi="Times New Roman" w:eastAsiaTheme="majorEastAsia"/>
          <w:sz w:val="24"/>
          <w:szCs w:val="24"/>
        </w:rPr>
        <w:t xml:space="preserve"> środ</w:t>
      </w:r>
      <w:r w:rsidRPr="00517245" w:rsidR="22094971">
        <w:rPr>
          <w:rFonts w:ascii="Times New Roman" w:hAnsi="Times New Roman" w:eastAsiaTheme="majorEastAsia"/>
          <w:sz w:val="24"/>
          <w:szCs w:val="24"/>
        </w:rPr>
        <w:t>owiska, WNP</w:t>
      </w:r>
      <w:r w:rsidRPr="00517245">
        <w:rPr>
          <w:rFonts w:ascii="Times New Roman" w:hAnsi="Times New Roman" w:eastAsiaTheme="majorEastAsia"/>
          <w:sz w:val="24"/>
          <w:szCs w:val="24"/>
        </w:rPr>
        <w:t>)</w:t>
      </w:r>
      <w:r w:rsidR="0029792E">
        <w:rPr>
          <w:rFonts w:ascii="Times New Roman" w:hAnsi="Times New Roman" w:eastAsiaTheme="majorEastAsia"/>
          <w:sz w:val="24"/>
          <w:szCs w:val="24"/>
        </w:rPr>
        <w:t>;</w:t>
      </w:r>
    </w:p>
    <w:p w:rsidRPr="00517245" w:rsidR="00CC3767" w:rsidP="00517245" w:rsidRDefault="00B31839" w14:paraId="4F507111" w14:textId="0A8B119A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>r</w:t>
      </w:r>
      <w:r w:rsidRPr="00517245" w:rsidR="00CC3767">
        <w:rPr>
          <w:rFonts w:ascii="Times New Roman" w:hAnsi="Times New Roman" w:eastAsiaTheme="majorEastAsia"/>
          <w:sz w:val="24"/>
          <w:szCs w:val="24"/>
        </w:rPr>
        <w:t>ealizacja studenckich wizyt studyjnych – krajowych</w:t>
      </w:r>
      <w:r w:rsidRPr="00517245" w:rsidR="00EB4E76">
        <w:rPr>
          <w:rFonts w:ascii="Times New Roman" w:hAnsi="Times New Roman" w:eastAsiaTheme="majorEastAsia"/>
          <w:sz w:val="24"/>
          <w:szCs w:val="24"/>
        </w:rPr>
        <w:t xml:space="preserve"> i </w:t>
      </w:r>
      <w:r w:rsidRPr="00517245" w:rsidR="00CC3767">
        <w:rPr>
          <w:rFonts w:ascii="Times New Roman" w:hAnsi="Times New Roman" w:eastAsiaTheme="majorEastAsia"/>
          <w:sz w:val="24"/>
          <w:szCs w:val="24"/>
        </w:rPr>
        <w:t>zagranicznych, których celem było poznanie innowacyjnych systemów edukacji oraz odmiennych metod pracy</w:t>
      </w:r>
      <w:r w:rsidRPr="00517245" w:rsidR="00EB4E76">
        <w:rPr>
          <w:rFonts w:ascii="Times New Roman" w:hAnsi="Times New Roman" w:eastAsiaTheme="majorEastAsia"/>
          <w:sz w:val="24"/>
          <w:szCs w:val="24"/>
        </w:rPr>
        <w:t xml:space="preserve"> z </w:t>
      </w:r>
      <w:r w:rsidRPr="00517245" w:rsidR="00CC3767">
        <w:rPr>
          <w:rFonts w:ascii="Times New Roman" w:hAnsi="Times New Roman" w:eastAsiaTheme="majorEastAsia"/>
          <w:sz w:val="24"/>
          <w:szCs w:val="24"/>
        </w:rPr>
        <w:t>uczniami/studentami (WH</w:t>
      </w:r>
      <w:r w:rsidRPr="00517245" w:rsidR="009A79DD">
        <w:rPr>
          <w:rFonts w:ascii="Times New Roman" w:hAnsi="Times New Roman" w:eastAsiaTheme="majorEastAsia"/>
          <w:sz w:val="24"/>
          <w:szCs w:val="24"/>
        </w:rPr>
        <w:t>, WSNE</w:t>
      </w:r>
      <w:r w:rsidRPr="00517245" w:rsidR="00CC3767">
        <w:rPr>
          <w:rFonts w:ascii="Times New Roman" w:hAnsi="Times New Roman" w:eastAsiaTheme="majorEastAsia"/>
          <w:sz w:val="24"/>
          <w:szCs w:val="24"/>
        </w:rPr>
        <w:t>)</w:t>
      </w:r>
      <w:r w:rsidRPr="00517245" w:rsidR="005221DB">
        <w:rPr>
          <w:rFonts w:ascii="Times New Roman" w:hAnsi="Times New Roman" w:eastAsiaTheme="majorEastAsia"/>
          <w:sz w:val="24"/>
          <w:szCs w:val="24"/>
        </w:rPr>
        <w:t>;</w:t>
      </w:r>
    </w:p>
    <w:p w:rsidRPr="00517245" w:rsidR="00CC3767" w:rsidP="00517245" w:rsidRDefault="00B31839" w14:paraId="7C627087" w14:textId="6B51E32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 w:eastAsiaTheme="majorEastAsia"/>
          <w:sz w:val="24"/>
          <w:szCs w:val="24"/>
        </w:rPr>
        <w:t>p</w:t>
      </w:r>
      <w:r w:rsidRPr="00517245" w:rsidR="00CC3767">
        <w:rPr>
          <w:rFonts w:ascii="Times New Roman" w:hAnsi="Times New Roman" w:eastAsiaTheme="majorEastAsia"/>
          <w:sz w:val="24"/>
          <w:szCs w:val="24"/>
        </w:rPr>
        <w:t>rezentacj</w:t>
      </w:r>
      <w:r w:rsidRPr="00517245" w:rsidR="009A79DD">
        <w:rPr>
          <w:rFonts w:ascii="Times New Roman" w:hAnsi="Times New Roman" w:eastAsiaTheme="majorEastAsia"/>
          <w:sz w:val="24"/>
          <w:szCs w:val="24"/>
        </w:rPr>
        <w:t>e</w:t>
      </w:r>
      <w:r w:rsidRPr="00517245" w:rsidR="00CC3767">
        <w:rPr>
          <w:rFonts w:ascii="Times New Roman" w:hAnsi="Times New Roman" w:eastAsiaTheme="majorEastAsia"/>
          <w:sz w:val="24"/>
          <w:szCs w:val="24"/>
        </w:rPr>
        <w:t xml:space="preserve"> efektów prac badawczych podejmowan</w:t>
      </w:r>
      <w:r w:rsidRPr="00517245" w:rsidR="00CC3767">
        <w:rPr>
          <w:rFonts w:ascii="Times New Roman" w:hAnsi="Times New Roman"/>
          <w:sz w:val="24"/>
          <w:szCs w:val="24"/>
        </w:rPr>
        <w:t xml:space="preserve">ych przez studentów pod kierunkiem </w:t>
      </w:r>
      <w:r w:rsidRPr="00517245" w:rsidR="009A79DD">
        <w:rPr>
          <w:rFonts w:ascii="Times New Roman" w:hAnsi="Times New Roman"/>
          <w:sz w:val="24"/>
          <w:szCs w:val="24"/>
        </w:rPr>
        <w:t>nauczycieli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 w:rsidR="009A79DD">
        <w:rPr>
          <w:rFonts w:ascii="Times New Roman" w:hAnsi="Times New Roman"/>
          <w:sz w:val="24"/>
          <w:szCs w:val="24"/>
        </w:rPr>
        <w:t xml:space="preserve">nauczycielek akademickich </w:t>
      </w:r>
      <w:r w:rsidRPr="00517245" w:rsidR="00CC3767">
        <w:rPr>
          <w:rFonts w:ascii="Times New Roman" w:hAnsi="Times New Roman"/>
          <w:sz w:val="24"/>
          <w:szCs w:val="24"/>
        </w:rPr>
        <w:t>na spotkaniach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 w:rsidR="00CC3767">
        <w:rPr>
          <w:rFonts w:ascii="Times New Roman" w:hAnsi="Times New Roman"/>
          <w:sz w:val="24"/>
          <w:szCs w:val="24"/>
        </w:rPr>
        <w:t>interesariuszami zewnętrznymi kierunków,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CC3767">
        <w:rPr>
          <w:rFonts w:ascii="Times New Roman" w:hAnsi="Times New Roman"/>
          <w:sz w:val="24"/>
          <w:szCs w:val="24"/>
        </w:rPr>
        <w:t>tym przedstawicielami szkół średnich, pracownikami Akademii Muzycznej oraz absolwentami kierunku</w:t>
      </w:r>
      <w:r w:rsidRPr="00517245" w:rsidR="005221DB">
        <w:rPr>
          <w:rFonts w:ascii="Times New Roman" w:hAnsi="Times New Roman"/>
          <w:sz w:val="24"/>
          <w:szCs w:val="24"/>
        </w:rPr>
        <w:t>;</w:t>
      </w:r>
    </w:p>
    <w:p w:rsidRPr="00517245" w:rsidR="005221DB" w:rsidP="00517245" w:rsidRDefault="7597EDE8" w14:paraId="5862CF49" w14:textId="6A98BA1A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uwzględnianie odmiennych niż tradycyjne sposobów realizacji projektów studenckich (logistyka organizacji godzinowego planu zajęć; aktywizacja studenta</w:t>
      </w:r>
      <w:r w:rsidRPr="00517245" w:rsidR="432F187D">
        <w:rPr>
          <w:rFonts w:ascii="Times New Roman" w:hAnsi="Times New Roman"/>
          <w:sz w:val="24"/>
          <w:szCs w:val="24"/>
        </w:rPr>
        <w:t xml:space="preserve"> w </w:t>
      </w:r>
      <w:r w:rsidRPr="00517245">
        <w:rPr>
          <w:rFonts w:ascii="Times New Roman" w:hAnsi="Times New Roman"/>
          <w:sz w:val="24"/>
          <w:szCs w:val="24"/>
        </w:rPr>
        <w:t>interaktywnej formie zajęć) umożliwiające osiągnięcie zakładanych efektów kształcenia)</w:t>
      </w:r>
      <w:r w:rsidRPr="00517245" w:rsidR="67C803DD">
        <w:rPr>
          <w:rFonts w:ascii="Times New Roman" w:hAnsi="Times New Roman"/>
          <w:sz w:val="24"/>
          <w:szCs w:val="24"/>
        </w:rPr>
        <w:t>, SF</w:t>
      </w:r>
      <w:r w:rsidRPr="00517245">
        <w:rPr>
          <w:rFonts w:ascii="Times New Roman" w:hAnsi="Times New Roman"/>
          <w:sz w:val="24"/>
          <w:szCs w:val="24"/>
        </w:rPr>
        <w:t>;</w:t>
      </w:r>
    </w:p>
    <w:p w:rsidRPr="00517245" w:rsidR="005221DB" w:rsidP="00517245" w:rsidRDefault="0E930E1C" w14:paraId="6D7BCE3A" w14:textId="61BBD2B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k</w:t>
      </w:r>
      <w:r w:rsidRPr="00517245" w:rsidR="7597EDE8">
        <w:rPr>
          <w:rFonts w:ascii="Times New Roman" w:hAnsi="Times New Roman"/>
          <w:sz w:val="24"/>
          <w:szCs w:val="24"/>
        </w:rPr>
        <w:t>onsultacje</w:t>
      </w:r>
      <w:r w:rsidRPr="00517245" w:rsidR="432F187D">
        <w:rPr>
          <w:rFonts w:ascii="Times New Roman" w:hAnsi="Times New Roman"/>
          <w:sz w:val="24"/>
          <w:szCs w:val="24"/>
        </w:rPr>
        <w:t xml:space="preserve"> z </w:t>
      </w:r>
      <w:r w:rsidRPr="00517245" w:rsidR="7597EDE8">
        <w:rPr>
          <w:rFonts w:ascii="Times New Roman" w:hAnsi="Times New Roman"/>
          <w:sz w:val="24"/>
          <w:szCs w:val="24"/>
        </w:rPr>
        <w:t xml:space="preserve">interesariuszami </w:t>
      </w:r>
      <w:r w:rsidRPr="00517245" w:rsidR="48182273">
        <w:rPr>
          <w:rFonts w:ascii="Times New Roman" w:hAnsi="Times New Roman"/>
          <w:sz w:val="24"/>
          <w:szCs w:val="24"/>
        </w:rPr>
        <w:t>wewnętrznymi</w:t>
      </w:r>
      <w:r w:rsidRPr="00517245" w:rsidR="432F187D">
        <w:rPr>
          <w:rFonts w:ascii="Times New Roman" w:hAnsi="Times New Roman"/>
          <w:sz w:val="24"/>
          <w:szCs w:val="24"/>
        </w:rPr>
        <w:t xml:space="preserve"> i </w:t>
      </w:r>
      <w:r w:rsidRPr="00517245" w:rsidR="7597EDE8">
        <w:rPr>
          <w:rFonts w:ascii="Times New Roman" w:hAnsi="Times New Roman"/>
          <w:sz w:val="24"/>
          <w:szCs w:val="24"/>
        </w:rPr>
        <w:t>zewnętrznymi</w:t>
      </w:r>
      <w:r w:rsidRPr="00517245" w:rsidR="432F187D">
        <w:rPr>
          <w:rFonts w:ascii="Times New Roman" w:hAnsi="Times New Roman"/>
          <w:sz w:val="24"/>
          <w:szCs w:val="24"/>
        </w:rPr>
        <w:t xml:space="preserve"> w </w:t>
      </w:r>
      <w:r w:rsidRPr="00517245" w:rsidR="7597EDE8">
        <w:rPr>
          <w:rFonts w:ascii="Times New Roman" w:hAnsi="Times New Roman"/>
          <w:sz w:val="24"/>
          <w:szCs w:val="24"/>
        </w:rPr>
        <w:t>trakcie prac nad zmianą programów studiów;</w:t>
      </w:r>
    </w:p>
    <w:p w:rsidRPr="00517245" w:rsidR="56C0E798" w:rsidP="00517245" w:rsidRDefault="56C0E798" w14:paraId="2FBC8F5A" w14:textId="71589C4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wypożyczanie studentom (którzy zgłaszają brak sprzętu) laptopów na czas trwania studiów</w:t>
      </w:r>
      <w:r w:rsidRPr="00517245" w:rsidR="7FDF2AC8">
        <w:rPr>
          <w:rFonts w:ascii="Times New Roman" w:hAnsi="Times New Roman"/>
          <w:sz w:val="24"/>
          <w:szCs w:val="24"/>
        </w:rPr>
        <w:t xml:space="preserve"> (WNST);</w:t>
      </w:r>
    </w:p>
    <w:p w:rsidRPr="00517245" w:rsidR="005221DB" w:rsidP="00517245" w:rsidRDefault="0E930E1C" w14:paraId="41A37AE9" w14:textId="2B21CA0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4F062333" w:rsidR="0E930E1C">
        <w:rPr>
          <w:rFonts w:ascii="Times New Roman" w:hAnsi="Times New Roman"/>
          <w:sz w:val="24"/>
          <w:szCs w:val="24"/>
        </w:rPr>
        <w:t>d</w:t>
      </w:r>
      <w:r w:rsidRPr="4F062333" w:rsidR="7597EDE8">
        <w:rPr>
          <w:rFonts w:ascii="Times New Roman" w:hAnsi="Times New Roman"/>
          <w:sz w:val="24"/>
          <w:szCs w:val="24"/>
        </w:rPr>
        <w:t>ziałania Wydziałowej Komisji ds. Zatwierdzania Tytułów Prac Dyplomowych na</w:t>
      </w:r>
      <w:r w:rsidRPr="4F062333" w:rsidR="0029792E">
        <w:rPr>
          <w:rFonts w:ascii="Times New Roman" w:hAnsi="Times New Roman"/>
          <w:sz w:val="24"/>
          <w:szCs w:val="24"/>
        </w:rPr>
        <w:t> </w:t>
      </w:r>
      <w:r w:rsidRPr="4F062333" w:rsidR="7597EDE8">
        <w:rPr>
          <w:rFonts w:ascii="Times New Roman" w:hAnsi="Times New Roman"/>
          <w:sz w:val="24"/>
          <w:szCs w:val="24"/>
        </w:rPr>
        <w:t>kierunk</w:t>
      </w:r>
      <w:r w:rsidRPr="4F062333" w:rsidR="48182273">
        <w:rPr>
          <w:rFonts w:ascii="Times New Roman" w:hAnsi="Times New Roman"/>
          <w:sz w:val="24"/>
          <w:szCs w:val="24"/>
        </w:rPr>
        <w:t>ach:</w:t>
      </w:r>
      <w:r w:rsidRPr="4F062333" w:rsidR="7597EDE8">
        <w:rPr>
          <w:rFonts w:ascii="Times New Roman" w:hAnsi="Times New Roman"/>
          <w:sz w:val="24"/>
          <w:szCs w:val="24"/>
        </w:rPr>
        <w:t xml:space="preserve"> nauki o rodzinie</w:t>
      </w:r>
      <w:r w:rsidRPr="4F062333" w:rsidR="48182273">
        <w:rPr>
          <w:rFonts w:ascii="Times New Roman" w:hAnsi="Times New Roman"/>
          <w:sz w:val="24"/>
          <w:szCs w:val="24"/>
        </w:rPr>
        <w:t>, teologia</w:t>
      </w:r>
      <w:r w:rsidRPr="4F062333" w:rsidR="7597EDE8">
        <w:rPr>
          <w:rFonts w:ascii="Times New Roman" w:hAnsi="Times New Roman"/>
          <w:sz w:val="24"/>
          <w:szCs w:val="24"/>
        </w:rPr>
        <w:t xml:space="preserve"> (WTL);</w:t>
      </w:r>
    </w:p>
    <w:p w:rsidR="3D56654D" w:rsidP="4F062333" w:rsidRDefault="3D56654D" w14:paraId="171A3F6C" w14:textId="3FA447E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F062333" w:rsidR="3D56654D">
        <w:rPr>
          <w:rFonts w:ascii="Times New Roman" w:hAnsi="Times New Roman"/>
          <w:sz w:val="24"/>
          <w:szCs w:val="24"/>
        </w:rPr>
        <w:t>Nagroda Wielkiego Kanclerza (WTL);</w:t>
      </w:r>
    </w:p>
    <w:p w:rsidRPr="00517245" w:rsidR="005221DB" w:rsidP="00517245" w:rsidRDefault="0E930E1C" w14:paraId="7D7BCACD" w14:textId="09DC670F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4F062333" w:rsidR="0E930E1C">
        <w:rPr>
          <w:rFonts w:ascii="Times New Roman" w:hAnsi="Times New Roman"/>
          <w:sz w:val="24"/>
          <w:szCs w:val="24"/>
        </w:rPr>
        <w:t>p</w:t>
      </w:r>
      <w:r w:rsidRPr="4F062333" w:rsidR="7597EDE8">
        <w:rPr>
          <w:rFonts w:ascii="Times New Roman" w:hAnsi="Times New Roman"/>
          <w:sz w:val="24"/>
          <w:szCs w:val="24"/>
        </w:rPr>
        <w:t>rowadzenie ewaluacji placówek,</w:t>
      </w:r>
      <w:r w:rsidRPr="4F062333" w:rsidR="432F187D">
        <w:rPr>
          <w:rFonts w:ascii="Times New Roman" w:hAnsi="Times New Roman"/>
          <w:sz w:val="24"/>
          <w:szCs w:val="24"/>
        </w:rPr>
        <w:t xml:space="preserve"> w </w:t>
      </w:r>
      <w:r w:rsidRPr="4F062333" w:rsidR="7597EDE8">
        <w:rPr>
          <w:rFonts w:ascii="Times New Roman" w:hAnsi="Times New Roman"/>
          <w:sz w:val="24"/>
          <w:szCs w:val="24"/>
        </w:rPr>
        <w:t>których realizowane są praktyki zawodowe;</w:t>
      </w:r>
    </w:p>
    <w:p w:rsidRPr="00517245" w:rsidR="005221DB" w:rsidP="00517245" w:rsidRDefault="0E930E1C" w14:paraId="1120276A" w14:textId="3837849A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4F062333" w:rsidR="0E930E1C">
        <w:rPr>
          <w:rFonts w:ascii="Times New Roman" w:hAnsi="Times New Roman"/>
          <w:sz w:val="24"/>
          <w:szCs w:val="24"/>
        </w:rPr>
        <w:t>p</w:t>
      </w:r>
      <w:r w:rsidRPr="4F062333" w:rsidR="7597EDE8">
        <w:rPr>
          <w:rFonts w:ascii="Times New Roman" w:hAnsi="Times New Roman"/>
          <w:sz w:val="24"/>
          <w:szCs w:val="24"/>
        </w:rPr>
        <w:t>odnoszenie kompetencji dydaktycznych pracowników</w:t>
      </w:r>
      <w:r w:rsidRPr="4F062333" w:rsidR="432F187D">
        <w:rPr>
          <w:rFonts w:ascii="Times New Roman" w:hAnsi="Times New Roman"/>
          <w:sz w:val="24"/>
          <w:szCs w:val="24"/>
        </w:rPr>
        <w:t xml:space="preserve"> w </w:t>
      </w:r>
      <w:r w:rsidRPr="4F062333" w:rsidR="7597EDE8">
        <w:rPr>
          <w:rFonts w:ascii="Times New Roman" w:hAnsi="Times New Roman"/>
          <w:sz w:val="24"/>
          <w:szCs w:val="24"/>
        </w:rPr>
        <w:t>ramach szkoleń, między innymi</w:t>
      </w:r>
      <w:r w:rsidRPr="4F062333" w:rsidR="432F187D">
        <w:rPr>
          <w:rFonts w:ascii="Times New Roman" w:hAnsi="Times New Roman"/>
          <w:sz w:val="24"/>
          <w:szCs w:val="24"/>
        </w:rPr>
        <w:t xml:space="preserve"> w </w:t>
      </w:r>
      <w:r w:rsidRPr="4F062333" w:rsidR="48182273">
        <w:rPr>
          <w:rFonts w:ascii="Times New Roman" w:hAnsi="Times New Roman"/>
          <w:sz w:val="24"/>
          <w:szCs w:val="24"/>
        </w:rPr>
        <w:t xml:space="preserve">ramach </w:t>
      </w:r>
      <w:r w:rsidRPr="4F062333" w:rsidR="7597EDE8">
        <w:rPr>
          <w:rFonts w:ascii="Times New Roman" w:hAnsi="Times New Roman"/>
          <w:sz w:val="24"/>
          <w:szCs w:val="24"/>
        </w:rPr>
        <w:t>programu POWER;</w:t>
      </w:r>
    </w:p>
    <w:p w:rsidRPr="00517245" w:rsidR="005221DB" w:rsidP="00517245" w:rsidRDefault="0E930E1C" w14:paraId="51F030E0" w14:textId="11CEB3D1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4F062333" w:rsidR="0E930E1C">
        <w:rPr>
          <w:rFonts w:ascii="Times New Roman" w:hAnsi="Times New Roman"/>
          <w:sz w:val="24"/>
          <w:szCs w:val="24"/>
        </w:rPr>
        <w:t>o</w:t>
      </w:r>
      <w:r w:rsidRPr="4F062333" w:rsidR="7597EDE8">
        <w:rPr>
          <w:rFonts w:ascii="Times New Roman" w:hAnsi="Times New Roman"/>
          <w:sz w:val="24"/>
          <w:szCs w:val="24"/>
        </w:rPr>
        <w:t>graniczanie liczebności grup laboratoryjnych</w:t>
      </w:r>
      <w:r w:rsidRPr="4F062333" w:rsidR="432F187D">
        <w:rPr>
          <w:rFonts w:ascii="Times New Roman" w:hAnsi="Times New Roman"/>
          <w:sz w:val="24"/>
          <w:szCs w:val="24"/>
        </w:rPr>
        <w:t xml:space="preserve"> i </w:t>
      </w:r>
      <w:r w:rsidRPr="4F062333" w:rsidR="7597EDE8">
        <w:rPr>
          <w:rFonts w:ascii="Times New Roman" w:hAnsi="Times New Roman"/>
          <w:sz w:val="24"/>
          <w:szCs w:val="24"/>
        </w:rPr>
        <w:t>warsztatowych;</w:t>
      </w:r>
    </w:p>
    <w:p w:rsidRPr="00517245" w:rsidR="005221DB" w:rsidP="00517245" w:rsidRDefault="2985CEE2" w14:paraId="24F7610D" w14:textId="09028239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F062333" w:rsidR="2985CEE2">
        <w:rPr>
          <w:rFonts w:ascii="Times New Roman" w:hAnsi="Times New Roman"/>
          <w:sz w:val="24"/>
          <w:szCs w:val="24"/>
        </w:rPr>
        <w:t>u</w:t>
      </w:r>
      <w:r w:rsidRPr="4F062333" w:rsidR="48182273">
        <w:rPr>
          <w:rFonts w:ascii="Times New Roman" w:hAnsi="Times New Roman"/>
          <w:sz w:val="24"/>
          <w:szCs w:val="24"/>
        </w:rPr>
        <w:t>możliwienie</w:t>
      </w:r>
      <w:r w:rsidRPr="4F062333" w:rsidR="07356D9F">
        <w:rPr>
          <w:rFonts w:ascii="Times New Roman" w:hAnsi="Times New Roman"/>
          <w:sz w:val="24"/>
          <w:szCs w:val="24"/>
        </w:rPr>
        <w:t xml:space="preserve"> </w:t>
      </w:r>
      <w:r w:rsidRPr="4F062333" w:rsidR="7597EDE8">
        <w:rPr>
          <w:rFonts w:ascii="Times New Roman" w:hAnsi="Times New Roman"/>
          <w:sz w:val="24"/>
          <w:szCs w:val="24"/>
        </w:rPr>
        <w:t>realizacji podwójnego dyplomu na studiach II stopnia</w:t>
      </w:r>
      <w:r w:rsidRPr="4F062333" w:rsidR="48182273">
        <w:rPr>
          <w:rFonts w:ascii="Times New Roman" w:hAnsi="Times New Roman"/>
          <w:sz w:val="24"/>
          <w:szCs w:val="24"/>
        </w:rPr>
        <w:t xml:space="preserve"> na podstawie </w:t>
      </w:r>
      <w:r w:rsidRPr="4F062333" w:rsidR="7597EDE8">
        <w:rPr>
          <w:rFonts w:ascii="Times New Roman" w:hAnsi="Times New Roman"/>
          <w:sz w:val="24"/>
          <w:szCs w:val="24"/>
        </w:rPr>
        <w:t xml:space="preserve"> </w:t>
      </w:r>
      <w:r w:rsidRPr="4F062333" w:rsidR="48182273">
        <w:rPr>
          <w:rFonts w:ascii="Times New Roman" w:hAnsi="Times New Roman"/>
          <w:sz w:val="24"/>
          <w:szCs w:val="24"/>
        </w:rPr>
        <w:t xml:space="preserve"> </w:t>
      </w:r>
      <w:r w:rsidRPr="4F062333" w:rsidR="7597EDE8">
        <w:rPr>
          <w:rFonts w:ascii="Times New Roman" w:hAnsi="Times New Roman"/>
          <w:sz w:val="24"/>
          <w:szCs w:val="24"/>
        </w:rPr>
        <w:t>umow</w:t>
      </w:r>
      <w:r w:rsidRPr="4F062333" w:rsidR="48182273">
        <w:rPr>
          <w:rFonts w:ascii="Times New Roman" w:hAnsi="Times New Roman"/>
          <w:sz w:val="24"/>
          <w:szCs w:val="24"/>
        </w:rPr>
        <w:t>y</w:t>
      </w:r>
      <w:r w:rsidRPr="4F062333" w:rsidR="432F187D">
        <w:rPr>
          <w:rFonts w:ascii="Times New Roman" w:hAnsi="Times New Roman"/>
          <w:sz w:val="24"/>
          <w:szCs w:val="24"/>
        </w:rPr>
        <w:t xml:space="preserve"> z </w:t>
      </w:r>
      <w:r w:rsidRPr="4F062333" w:rsidR="7597EDE8">
        <w:rPr>
          <w:rFonts w:ascii="Times New Roman" w:hAnsi="Times New Roman"/>
          <w:sz w:val="24"/>
          <w:szCs w:val="24"/>
        </w:rPr>
        <w:t>Uniwersytetem</w:t>
      </w:r>
      <w:r w:rsidRPr="4F062333" w:rsidR="432F187D">
        <w:rPr>
          <w:rFonts w:ascii="Times New Roman" w:hAnsi="Times New Roman"/>
          <w:sz w:val="24"/>
          <w:szCs w:val="24"/>
        </w:rPr>
        <w:t xml:space="preserve"> w </w:t>
      </w:r>
      <w:r w:rsidRPr="4F062333" w:rsidR="7597EDE8">
        <w:rPr>
          <w:rFonts w:ascii="Times New Roman" w:hAnsi="Times New Roman"/>
          <w:sz w:val="24"/>
          <w:szCs w:val="24"/>
        </w:rPr>
        <w:t>Ostrawie (WSNE);</w:t>
      </w:r>
    </w:p>
    <w:p w:rsidRPr="00517245" w:rsidR="005221DB" w:rsidP="00517245" w:rsidRDefault="0E930E1C" w14:paraId="4152FC3A" w14:textId="6A00DAE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4F062333" w:rsidR="0E930E1C">
        <w:rPr>
          <w:rFonts w:ascii="Times New Roman" w:hAnsi="Times New Roman"/>
          <w:sz w:val="24"/>
          <w:szCs w:val="24"/>
        </w:rPr>
        <w:t>w</w:t>
      </w:r>
      <w:r w:rsidRPr="4F062333" w:rsidR="7597EDE8">
        <w:rPr>
          <w:rFonts w:ascii="Times New Roman" w:hAnsi="Times New Roman"/>
          <w:sz w:val="24"/>
          <w:szCs w:val="24"/>
        </w:rPr>
        <w:t>drożenie dostępności online do harmonogramu zajęć na kierunku pedagogika za</w:t>
      </w:r>
      <w:r w:rsidRPr="4F062333" w:rsidR="0029792E">
        <w:rPr>
          <w:rFonts w:ascii="Times New Roman" w:hAnsi="Times New Roman"/>
          <w:sz w:val="24"/>
          <w:szCs w:val="24"/>
        </w:rPr>
        <w:t> </w:t>
      </w:r>
      <w:r w:rsidRPr="4F062333" w:rsidR="7597EDE8">
        <w:rPr>
          <w:rFonts w:ascii="Times New Roman" w:hAnsi="Times New Roman"/>
          <w:sz w:val="24"/>
          <w:szCs w:val="24"/>
        </w:rPr>
        <w:t>pośrednictwem systemu PLANER (WSNE);</w:t>
      </w:r>
    </w:p>
    <w:p w:rsidRPr="00517245" w:rsidR="005221DB" w:rsidP="00517245" w:rsidRDefault="0E930E1C" w14:paraId="058FF15B" w14:textId="2CE5B10D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F062333" w:rsidR="0E930E1C">
        <w:rPr>
          <w:rFonts w:ascii="Times New Roman" w:hAnsi="Times New Roman"/>
          <w:sz w:val="24"/>
          <w:szCs w:val="24"/>
        </w:rPr>
        <w:t>p</w:t>
      </w:r>
      <w:r w:rsidRPr="4F062333" w:rsidR="7597EDE8">
        <w:rPr>
          <w:rFonts w:ascii="Times New Roman" w:hAnsi="Times New Roman"/>
          <w:sz w:val="24"/>
          <w:szCs w:val="24"/>
        </w:rPr>
        <w:t xml:space="preserve">odnoszenie </w:t>
      </w:r>
      <w:r w:rsidRPr="4F062333" w:rsidR="48182273">
        <w:rPr>
          <w:rFonts w:ascii="Times New Roman" w:hAnsi="Times New Roman"/>
          <w:sz w:val="24"/>
          <w:szCs w:val="24"/>
        </w:rPr>
        <w:t>kompetencji nauczycielek</w:t>
      </w:r>
      <w:r w:rsidRPr="4F062333" w:rsidR="432F187D">
        <w:rPr>
          <w:rFonts w:ascii="Times New Roman" w:hAnsi="Times New Roman"/>
          <w:sz w:val="24"/>
          <w:szCs w:val="24"/>
        </w:rPr>
        <w:t xml:space="preserve"> i </w:t>
      </w:r>
      <w:r w:rsidRPr="4F062333" w:rsidR="48182273">
        <w:rPr>
          <w:rFonts w:ascii="Times New Roman" w:hAnsi="Times New Roman"/>
          <w:sz w:val="24"/>
          <w:szCs w:val="24"/>
        </w:rPr>
        <w:t xml:space="preserve">nauczycieli akademickich do korzystania </w:t>
      </w:r>
      <w:r w:rsidRPr="4F062333" w:rsidR="432F187D">
        <w:rPr>
          <w:rFonts w:ascii="Times New Roman" w:hAnsi="Times New Roman"/>
          <w:sz w:val="24"/>
          <w:szCs w:val="24"/>
        </w:rPr>
        <w:t>z </w:t>
      </w:r>
      <w:r w:rsidRPr="4F062333" w:rsidR="7597EDE8">
        <w:rPr>
          <w:rFonts w:ascii="Times New Roman" w:hAnsi="Times New Roman"/>
          <w:sz w:val="24"/>
          <w:szCs w:val="24"/>
        </w:rPr>
        <w:t>narzędzi</w:t>
      </w:r>
      <w:r w:rsidRPr="4F062333" w:rsidR="432F187D">
        <w:rPr>
          <w:rFonts w:ascii="Times New Roman" w:hAnsi="Times New Roman"/>
          <w:sz w:val="24"/>
          <w:szCs w:val="24"/>
        </w:rPr>
        <w:t xml:space="preserve"> i </w:t>
      </w:r>
      <w:r w:rsidRPr="4F062333" w:rsidR="7597EDE8">
        <w:rPr>
          <w:rFonts w:ascii="Times New Roman" w:hAnsi="Times New Roman"/>
          <w:sz w:val="24"/>
          <w:szCs w:val="24"/>
        </w:rPr>
        <w:t xml:space="preserve">metod kształcenia na odległość </w:t>
      </w:r>
      <w:r w:rsidRPr="4F062333" w:rsidR="48182273">
        <w:rPr>
          <w:rFonts w:ascii="Times New Roman" w:hAnsi="Times New Roman"/>
          <w:sz w:val="24"/>
          <w:szCs w:val="24"/>
        </w:rPr>
        <w:t>poprzez inspirowanie</w:t>
      </w:r>
      <w:r w:rsidRPr="4F062333" w:rsidR="7597EDE8">
        <w:rPr>
          <w:rFonts w:ascii="Times New Roman" w:hAnsi="Times New Roman"/>
          <w:sz w:val="24"/>
          <w:szCs w:val="24"/>
        </w:rPr>
        <w:t xml:space="preserve"> ich do udziału</w:t>
      </w:r>
      <w:r w:rsidRPr="4F062333" w:rsidR="432F187D">
        <w:rPr>
          <w:rFonts w:ascii="Times New Roman" w:hAnsi="Times New Roman"/>
          <w:sz w:val="24"/>
          <w:szCs w:val="24"/>
        </w:rPr>
        <w:t xml:space="preserve"> w </w:t>
      </w:r>
      <w:r w:rsidRPr="4F062333" w:rsidR="7597EDE8">
        <w:rPr>
          <w:rFonts w:ascii="Times New Roman" w:hAnsi="Times New Roman"/>
          <w:sz w:val="24"/>
          <w:szCs w:val="24"/>
        </w:rPr>
        <w:t>szkoleniach</w:t>
      </w:r>
      <w:r w:rsidRPr="4F062333" w:rsidR="432F187D">
        <w:rPr>
          <w:rFonts w:ascii="Times New Roman" w:hAnsi="Times New Roman"/>
          <w:sz w:val="24"/>
          <w:szCs w:val="24"/>
        </w:rPr>
        <w:t xml:space="preserve"> z </w:t>
      </w:r>
      <w:r w:rsidRPr="4F062333" w:rsidR="7597EDE8">
        <w:rPr>
          <w:rFonts w:ascii="Times New Roman" w:hAnsi="Times New Roman"/>
          <w:sz w:val="24"/>
          <w:szCs w:val="24"/>
        </w:rPr>
        <w:t>zakresu metodyki zdalnego kształcenia oraz zapoznania się</w:t>
      </w:r>
      <w:r w:rsidRPr="4F062333" w:rsidR="432F187D">
        <w:rPr>
          <w:rFonts w:ascii="Times New Roman" w:hAnsi="Times New Roman"/>
          <w:sz w:val="24"/>
          <w:szCs w:val="24"/>
        </w:rPr>
        <w:t xml:space="preserve"> z </w:t>
      </w:r>
      <w:r w:rsidRPr="4F062333" w:rsidR="7597EDE8">
        <w:rPr>
          <w:rFonts w:ascii="Times New Roman" w:hAnsi="Times New Roman"/>
          <w:sz w:val="24"/>
          <w:szCs w:val="24"/>
        </w:rPr>
        <w:t>instrukcjami (</w:t>
      </w:r>
      <w:proofErr w:type="spellStart"/>
      <w:r w:rsidRPr="4F062333" w:rsidR="7597EDE8">
        <w:rPr>
          <w:rFonts w:ascii="Times New Roman" w:hAnsi="Times New Roman"/>
          <w:sz w:val="24"/>
          <w:szCs w:val="24"/>
        </w:rPr>
        <w:t>tutoriale</w:t>
      </w:r>
      <w:proofErr w:type="spellEnd"/>
      <w:r w:rsidRPr="4F062333" w:rsidR="7597EDE8">
        <w:rPr>
          <w:rFonts w:ascii="Times New Roman" w:hAnsi="Times New Roman"/>
          <w:sz w:val="24"/>
          <w:szCs w:val="24"/>
        </w:rPr>
        <w:t>, webinaria), rekomendacjami</w:t>
      </w:r>
      <w:r w:rsidRPr="4F062333" w:rsidR="432F187D">
        <w:rPr>
          <w:rFonts w:ascii="Times New Roman" w:hAnsi="Times New Roman"/>
          <w:sz w:val="24"/>
          <w:szCs w:val="24"/>
        </w:rPr>
        <w:t xml:space="preserve"> w </w:t>
      </w:r>
      <w:r w:rsidRPr="4F062333" w:rsidR="7597EDE8">
        <w:rPr>
          <w:rFonts w:ascii="Times New Roman" w:hAnsi="Times New Roman"/>
          <w:sz w:val="24"/>
          <w:szCs w:val="24"/>
        </w:rPr>
        <w:t>przewodniku kształcenia zdalnego, możliwościami realizacji zajęć</w:t>
      </w:r>
      <w:r w:rsidRPr="4F062333" w:rsidR="432F187D">
        <w:rPr>
          <w:rFonts w:ascii="Times New Roman" w:hAnsi="Times New Roman"/>
          <w:sz w:val="24"/>
          <w:szCs w:val="24"/>
        </w:rPr>
        <w:t xml:space="preserve"> w </w:t>
      </w:r>
      <w:r w:rsidRPr="4F062333" w:rsidR="7597EDE8">
        <w:rPr>
          <w:rFonts w:ascii="Times New Roman" w:hAnsi="Times New Roman"/>
          <w:sz w:val="24"/>
          <w:szCs w:val="24"/>
        </w:rPr>
        <w:t>formie synchronicznej</w:t>
      </w:r>
      <w:r w:rsidRPr="4F062333" w:rsidR="432F187D">
        <w:rPr>
          <w:rFonts w:ascii="Times New Roman" w:hAnsi="Times New Roman"/>
          <w:sz w:val="24"/>
          <w:szCs w:val="24"/>
        </w:rPr>
        <w:t xml:space="preserve"> i </w:t>
      </w:r>
      <w:r w:rsidRPr="4F062333" w:rsidR="7597EDE8">
        <w:rPr>
          <w:rFonts w:ascii="Times New Roman" w:hAnsi="Times New Roman"/>
          <w:sz w:val="24"/>
          <w:szCs w:val="24"/>
        </w:rPr>
        <w:t>asynchronicznej (WSNE);</w:t>
      </w:r>
    </w:p>
    <w:p w:rsidRPr="00517245" w:rsidR="7795A8DF" w:rsidP="00517245" w:rsidRDefault="43236B14" w14:paraId="1B3442E5" w14:textId="49A8287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43236B14">
        <w:rPr>
          <w:rFonts w:ascii="Times New Roman" w:hAnsi="Times New Roman" w:eastAsia="Arial" w:eastAsiaTheme="majorEastAsia"/>
          <w:sz w:val="24"/>
          <w:szCs w:val="24"/>
        </w:rPr>
        <w:t>udostępnienie wszystkim studentom  WPiA akcesu do testów prawniczych (od stycznia 2023 r. do stycznia 2024 r).: Serwis - prowadzony przez wydawnictwo CH Beck - oferuje dostęp do szerokiej oferty testów z zakresu przedmiotów prawniczych znajdujących się w</w:t>
      </w:r>
      <w:r w:rsidRPr="4F062333" w:rsidR="0029792E">
        <w:rPr>
          <w:rFonts w:ascii="Times New Roman" w:hAnsi="Times New Roman" w:eastAsia="Arial" w:eastAsiaTheme="majorEastAsia"/>
          <w:sz w:val="24"/>
          <w:szCs w:val="24"/>
        </w:rPr>
        <w:t> </w:t>
      </w:r>
      <w:r w:rsidRPr="4F062333" w:rsidR="43236B14">
        <w:rPr>
          <w:rFonts w:ascii="Times New Roman" w:hAnsi="Times New Roman" w:eastAsia="Arial" w:eastAsiaTheme="majorEastAsia"/>
          <w:sz w:val="24"/>
          <w:szCs w:val="24"/>
        </w:rPr>
        <w:t>siatce studiów kierunku prawo</w:t>
      </w:r>
      <w:r w:rsidRPr="4F062333" w:rsidR="0029792E">
        <w:rPr>
          <w:rFonts w:ascii="Times New Roman" w:hAnsi="Times New Roman" w:eastAsia="Arial" w:eastAsiaTheme="majorEastAsia"/>
          <w:sz w:val="24"/>
          <w:szCs w:val="24"/>
        </w:rPr>
        <w:t>;</w:t>
      </w:r>
    </w:p>
    <w:p w:rsidRPr="00517245" w:rsidR="7795A8DF" w:rsidP="00517245" w:rsidRDefault="43236B14" w14:paraId="26B3B49C" w14:textId="52DD02D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43236B14">
        <w:rPr>
          <w:rFonts w:ascii="Times New Roman" w:hAnsi="Times New Roman" w:eastAsia="Arial" w:eastAsiaTheme="majorEastAsia"/>
          <w:sz w:val="24"/>
          <w:szCs w:val="24"/>
        </w:rPr>
        <w:t>nowy cykl „Zaplanuj swoją karierę” mający na celu bliższe poznanie zawodów prawniczych i strukturę polskiego wymiaru sprawiedliwości (WPiA)</w:t>
      </w:r>
      <w:r w:rsidRPr="4F062333" w:rsidR="0029792E">
        <w:rPr>
          <w:rFonts w:ascii="Times New Roman" w:hAnsi="Times New Roman" w:eastAsia="Arial" w:eastAsiaTheme="majorEastAsia"/>
          <w:sz w:val="24"/>
          <w:szCs w:val="24"/>
        </w:rPr>
        <w:t>;</w:t>
      </w:r>
    </w:p>
    <w:p w:rsidRPr="00517245" w:rsidR="0C13A730" w:rsidP="00517245" w:rsidRDefault="60670660" w14:paraId="45B6E2E8" w14:textId="6FC76D2F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 xml:space="preserve">bardzo duża mobilność studentów i kadry (naukowej i administracyjnej), która realizowana jest w drodze umów bilateralnych, programu Erasmus + oraz współpracy </w:t>
      </w:r>
      <w:proofErr w:type="spellStart"/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>Programme</w:t>
      </w:r>
      <w:proofErr w:type="spellEnd"/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 xml:space="preserve"> in</w:t>
      </w:r>
      <w:r w:rsidRPr="4F062333" w:rsidR="0029792E">
        <w:rPr>
          <w:rFonts w:ascii="Times New Roman" w:hAnsi="Times New Roman" w:eastAsia="Arial" w:eastAsiaTheme="majorEastAsia"/>
          <w:sz w:val="24"/>
          <w:szCs w:val="24"/>
        </w:rPr>
        <w:t> </w:t>
      </w:r>
      <w:proofErr w:type="spellStart"/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>European</w:t>
      </w:r>
      <w:proofErr w:type="spellEnd"/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 xml:space="preserve"> </w:t>
      </w:r>
      <w:proofErr w:type="spellStart"/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>Private</w:t>
      </w:r>
      <w:proofErr w:type="spellEnd"/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 xml:space="preserve"> Law for </w:t>
      </w:r>
      <w:proofErr w:type="spellStart"/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>Postgraduates</w:t>
      </w:r>
      <w:proofErr w:type="spellEnd"/>
      <w:r w:rsidRPr="4F062333" w:rsidR="45BAEA00">
        <w:rPr>
          <w:rFonts w:ascii="Times New Roman" w:hAnsi="Times New Roman" w:eastAsia="Arial" w:eastAsiaTheme="majorEastAsia"/>
          <w:sz w:val="24"/>
          <w:szCs w:val="24"/>
        </w:rPr>
        <w:t xml:space="preserve"> (WPiA);</w:t>
      </w:r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 xml:space="preserve"> </w:t>
      </w:r>
    </w:p>
    <w:p w:rsidRPr="00517245" w:rsidR="0C13A730" w:rsidP="00517245" w:rsidRDefault="60670660" w14:paraId="203413CA" w14:textId="3946553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>szeroka oferta zajęć dydaktycznych prowadzonych w językach obcych, w tym przede wszystkim w języku angielskim dla zagranicznych studentów goszczących na Wydziale w</w:t>
      </w:r>
      <w:r w:rsidRPr="4F062333" w:rsidR="0029792E">
        <w:rPr>
          <w:rFonts w:ascii="Times New Roman" w:hAnsi="Times New Roman" w:eastAsia="Arial" w:eastAsiaTheme="majorEastAsia"/>
          <w:sz w:val="24"/>
          <w:szCs w:val="24"/>
        </w:rPr>
        <w:t> </w:t>
      </w:r>
      <w:r w:rsidRPr="4F062333" w:rsidR="60670660">
        <w:rPr>
          <w:rFonts w:ascii="Times New Roman" w:hAnsi="Times New Roman" w:eastAsia="Arial" w:eastAsiaTheme="majorEastAsia"/>
          <w:sz w:val="24"/>
          <w:szCs w:val="24"/>
        </w:rPr>
        <w:t>ramach programu Erasmus +</w:t>
      </w:r>
      <w:r w:rsidRPr="4F062333" w:rsidR="765A5A2E">
        <w:rPr>
          <w:rFonts w:ascii="Times New Roman" w:hAnsi="Times New Roman" w:eastAsia="Arial" w:eastAsiaTheme="majorEastAsia"/>
          <w:sz w:val="24"/>
          <w:szCs w:val="24"/>
        </w:rPr>
        <w:t xml:space="preserve"> (WPiA)</w:t>
      </w:r>
      <w:r w:rsidRPr="4F062333" w:rsidR="0029792E">
        <w:rPr>
          <w:rFonts w:ascii="Times New Roman" w:hAnsi="Times New Roman" w:eastAsia="Arial" w:eastAsiaTheme="majorEastAsia"/>
          <w:sz w:val="24"/>
          <w:szCs w:val="24"/>
        </w:rPr>
        <w:t>;</w:t>
      </w:r>
    </w:p>
    <w:p w:rsidRPr="00517245" w:rsidR="5D0A8085" w:rsidP="00517245" w:rsidRDefault="765A5A2E" w14:paraId="467028EF" w14:textId="56009030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765A5A2E">
        <w:rPr>
          <w:rFonts w:ascii="Times New Roman" w:hAnsi="Times New Roman" w:eastAsia="Arial" w:eastAsiaTheme="majorEastAsia"/>
          <w:sz w:val="24"/>
          <w:szCs w:val="24"/>
        </w:rPr>
        <w:t>r</w:t>
      </w:r>
      <w:r w:rsidRPr="4F062333" w:rsidR="2D12A373">
        <w:rPr>
          <w:rFonts w:ascii="Times New Roman" w:hAnsi="Times New Roman" w:eastAsia="Arial" w:eastAsiaTheme="majorEastAsia"/>
          <w:sz w:val="24"/>
          <w:szCs w:val="24"/>
        </w:rPr>
        <w:t>ozwijanie działalności Pełnomocnika Dziekana ds. programu Erasmus +</w:t>
      </w:r>
      <w:r w:rsidRPr="4F062333" w:rsidR="56DFC967">
        <w:rPr>
          <w:rFonts w:ascii="Times New Roman" w:hAnsi="Times New Roman" w:eastAsia="Arial" w:eastAsiaTheme="majorEastAsia"/>
          <w:sz w:val="24"/>
          <w:szCs w:val="24"/>
        </w:rPr>
        <w:t xml:space="preserve"> (WPiA)</w:t>
      </w:r>
      <w:r w:rsidRPr="4F062333" w:rsidR="0029792E">
        <w:rPr>
          <w:rFonts w:ascii="Times New Roman" w:hAnsi="Times New Roman" w:eastAsia="Arial" w:eastAsiaTheme="majorEastAsia"/>
          <w:sz w:val="24"/>
          <w:szCs w:val="24"/>
        </w:rPr>
        <w:t>;</w:t>
      </w:r>
    </w:p>
    <w:p w:rsidRPr="00517245" w:rsidR="75B3A1C0" w:rsidP="00517245" w:rsidRDefault="15736E64" w14:paraId="390CBF9A" w14:textId="7C0A1784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15736E64">
        <w:rPr>
          <w:rFonts w:ascii="Times New Roman" w:hAnsi="Times New Roman" w:eastAsia="Arial" w:eastAsiaTheme="majorEastAsia"/>
          <w:sz w:val="24"/>
          <w:szCs w:val="24"/>
        </w:rPr>
        <w:t>w</w:t>
      </w:r>
      <w:r w:rsidRPr="4F062333" w:rsidR="2D12A373">
        <w:rPr>
          <w:rFonts w:ascii="Times New Roman" w:hAnsi="Times New Roman" w:eastAsia="Arial" w:eastAsiaTheme="majorEastAsia"/>
          <w:sz w:val="24"/>
          <w:szCs w:val="24"/>
        </w:rPr>
        <w:t>sparcie pracowników w zakresie mobilności międzynarodowej oraz zagranicznych gości poprzez rozwijanie działającego na wydziale Sekretariatu Współpracy Międzynarodowej</w:t>
      </w:r>
      <w:r w:rsidRPr="4F062333" w:rsidR="50C4AA62">
        <w:rPr>
          <w:rFonts w:ascii="Times New Roman" w:hAnsi="Times New Roman" w:eastAsia="Arial" w:eastAsiaTheme="majorEastAsia"/>
          <w:sz w:val="24"/>
          <w:szCs w:val="24"/>
        </w:rPr>
        <w:t xml:space="preserve"> (WPiA)</w:t>
      </w:r>
      <w:r w:rsidRPr="4F062333" w:rsidR="2D12A373">
        <w:rPr>
          <w:rFonts w:ascii="Times New Roman" w:hAnsi="Times New Roman" w:eastAsia="Arial" w:eastAsiaTheme="majorEastAsia"/>
          <w:sz w:val="24"/>
          <w:szCs w:val="24"/>
        </w:rPr>
        <w:t>;</w:t>
      </w:r>
    </w:p>
    <w:p w:rsidRPr="00517245" w:rsidR="005221DB" w:rsidP="00517245" w:rsidRDefault="0E930E1C" w14:paraId="17B35371" w14:textId="40C3367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0E930E1C">
        <w:rPr>
          <w:rFonts w:ascii="Times New Roman" w:hAnsi="Times New Roman" w:eastAsia="Arial" w:eastAsiaTheme="majorEastAsia"/>
          <w:sz w:val="24"/>
          <w:szCs w:val="24"/>
        </w:rPr>
        <w:t>f</w:t>
      </w:r>
      <w:r w:rsidRPr="4F062333" w:rsidR="7597EDE8">
        <w:rPr>
          <w:rFonts w:ascii="Times New Roman" w:hAnsi="Times New Roman" w:eastAsia="Arial" w:eastAsiaTheme="majorEastAsia"/>
          <w:sz w:val="24"/>
          <w:szCs w:val="24"/>
        </w:rPr>
        <w:t>unkcjonowanie na Wydziale Studenckiej Poradni Prawnej (WPiA);</w:t>
      </w:r>
    </w:p>
    <w:p w:rsidRPr="00517245" w:rsidR="005221DB" w:rsidP="00517245" w:rsidRDefault="0E930E1C" w14:paraId="5594E3AD" w14:textId="3E1D103D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0E930E1C">
        <w:rPr>
          <w:rFonts w:ascii="Times New Roman" w:hAnsi="Times New Roman" w:eastAsia="Arial" w:eastAsiaTheme="majorEastAsia"/>
          <w:sz w:val="24"/>
          <w:szCs w:val="24"/>
        </w:rPr>
        <w:t>u</w:t>
      </w:r>
      <w:r w:rsidRPr="4F062333" w:rsidR="7597EDE8">
        <w:rPr>
          <w:rFonts w:ascii="Times New Roman" w:hAnsi="Times New Roman" w:eastAsia="Arial" w:eastAsiaTheme="majorEastAsia"/>
          <w:sz w:val="24"/>
          <w:szCs w:val="24"/>
        </w:rPr>
        <w:t>tworzenie na Wydziale Ośrodka Mediacyjnego (WPiA);</w:t>
      </w:r>
    </w:p>
    <w:p w:rsidRPr="00517245" w:rsidR="005221DB" w:rsidP="00517245" w:rsidRDefault="0E930E1C" w14:paraId="3390BE66" w14:textId="4417881A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0E930E1C">
        <w:rPr>
          <w:rFonts w:ascii="Times New Roman" w:hAnsi="Times New Roman" w:eastAsia="Arial" w:eastAsiaTheme="majorEastAsia"/>
          <w:sz w:val="24"/>
          <w:szCs w:val="24"/>
        </w:rPr>
        <w:t>w</w:t>
      </w:r>
      <w:r w:rsidRPr="4F062333" w:rsidR="7597EDE8">
        <w:rPr>
          <w:rFonts w:ascii="Times New Roman" w:hAnsi="Times New Roman" w:eastAsia="Arial" w:eastAsiaTheme="majorEastAsia"/>
          <w:sz w:val="24"/>
          <w:szCs w:val="24"/>
        </w:rPr>
        <w:t>spółpraca</w:t>
      </w:r>
      <w:r w:rsidRPr="4F062333" w:rsidR="432F187D">
        <w:rPr>
          <w:rFonts w:ascii="Times New Roman" w:hAnsi="Times New Roman" w:eastAsia="Arial" w:eastAsiaTheme="majorEastAsia"/>
          <w:sz w:val="24"/>
          <w:szCs w:val="24"/>
        </w:rPr>
        <w:t xml:space="preserve"> z </w:t>
      </w:r>
      <w:r w:rsidRPr="4F062333" w:rsidR="7597EDE8">
        <w:rPr>
          <w:rFonts w:ascii="Times New Roman" w:hAnsi="Times New Roman" w:eastAsia="Arial" w:eastAsiaTheme="majorEastAsia"/>
          <w:sz w:val="24"/>
          <w:szCs w:val="24"/>
        </w:rPr>
        <w:t>Okręgową Rada Adwokacką, Okręgowa Izbą Radców Prawnych, Radą Izby Komorniczej (WPiA);</w:t>
      </w:r>
    </w:p>
    <w:p w:rsidRPr="00517245" w:rsidR="1BAF65B7" w:rsidP="4F062333" w:rsidRDefault="1C5E04AD" w14:paraId="3C046143" w14:textId="48B93F5B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="Arial" w:eastAsiaTheme="majorEastAsia"/>
          <w:sz w:val="24"/>
          <w:szCs w:val="24"/>
        </w:rPr>
      </w:pPr>
      <w:r w:rsidRPr="4F062333" w:rsidR="1C5E04AD">
        <w:rPr>
          <w:rFonts w:ascii="Times New Roman" w:hAnsi="Times New Roman" w:eastAsia="Arial" w:eastAsiaTheme="majorEastAsia"/>
          <w:sz w:val="24"/>
          <w:szCs w:val="24"/>
        </w:rPr>
        <w:t xml:space="preserve">wprowadzenie obowiązku utrzymywania zespołów MS </w:t>
      </w:r>
      <w:r w:rsidRPr="4F062333" w:rsidR="1C5E04AD">
        <w:rPr>
          <w:rFonts w:ascii="Times New Roman" w:hAnsi="Times New Roman" w:eastAsia="Arial" w:eastAsiaTheme="majorEastAsia"/>
          <w:sz w:val="24"/>
          <w:szCs w:val="24"/>
        </w:rPr>
        <w:t>Teams</w:t>
      </w:r>
      <w:r w:rsidRPr="4F062333" w:rsidR="1C5E04AD">
        <w:rPr>
          <w:rFonts w:ascii="Times New Roman" w:hAnsi="Times New Roman" w:eastAsia="Arial" w:eastAsiaTheme="majorEastAsia"/>
          <w:sz w:val="24"/>
          <w:szCs w:val="24"/>
        </w:rPr>
        <w:t xml:space="preserve"> dla każdego przedmiotu/grupy w celu ułatwienia kontaktu ze studentami i możliwości udostępniania im materiałów dydaktycznych (WPiA</w:t>
      </w:r>
      <w:r w:rsidRPr="4F062333" w:rsidR="3457EEBD">
        <w:rPr>
          <w:rFonts w:ascii="Times New Roman" w:hAnsi="Times New Roman" w:eastAsia="Arial" w:eastAsiaTheme="majorEastAsia"/>
          <w:sz w:val="24"/>
          <w:szCs w:val="24"/>
        </w:rPr>
        <w:t>, WTL</w:t>
      </w:r>
      <w:r w:rsidRPr="4F062333" w:rsidR="1C5E04AD">
        <w:rPr>
          <w:rFonts w:ascii="Times New Roman" w:hAnsi="Times New Roman" w:eastAsia="Arial" w:eastAsiaTheme="majorEastAsia"/>
          <w:sz w:val="24"/>
          <w:szCs w:val="24"/>
        </w:rPr>
        <w:t>)</w:t>
      </w:r>
      <w:r w:rsidRPr="4F062333" w:rsidR="0029792E">
        <w:rPr>
          <w:rFonts w:ascii="Times New Roman" w:hAnsi="Times New Roman" w:eastAsia="Arial" w:eastAsiaTheme="majorEastAsia"/>
          <w:sz w:val="24"/>
          <w:szCs w:val="24"/>
        </w:rPr>
        <w:t>;</w:t>
      </w:r>
    </w:p>
    <w:p w:rsidRPr="00517245" w:rsidR="1BAF65B7" w:rsidP="00517245" w:rsidRDefault="1C5E04AD" w14:paraId="544B3B5C" w14:textId="46F38506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1C5E04AD">
        <w:rPr>
          <w:rFonts w:ascii="Times New Roman" w:hAnsi="Times New Roman" w:eastAsia="Arial" w:eastAsiaTheme="majorEastAsia"/>
          <w:sz w:val="24"/>
          <w:szCs w:val="24"/>
        </w:rPr>
        <w:t>zapewnienie studentom i pracownikom dostępu do baz fachowych i naukowych</w:t>
      </w:r>
      <w:r w:rsidRPr="4F062333" w:rsidR="0029792E">
        <w:rPr>
          <w:rFonts w:ascii="Times New Roman" w:hAnsi="Times New Roman" w:eastAsia="Arial" w:eastAsiaTheme="majorEastAsia"/>
          <w:sz w:val="24"/>
          <w:szCs w:val="24"/>
        </w:rPr>
        <w:t>;</w:t>
      </w:r>
    </w:p>
    <w:p w:rsidRPr="00517245" w:rsidR="1BAF65B7" w:rsidP="00517245" w:rsidRDefault="1C5E04AD" w14:paraId="37735AA7" w14:textId="77995A2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eastAsiaTheme="majorEastAsia"/>
          <w:sz w:val="24"/>
          <w:szCs w:val="24"/>
        </w:rPr>
      </w:pPr>
      <w:r w:rsidRPr="4F062333" w:rsidR="1C5E04AD">
        <w:rPr>
          <w:rFonts w:ascii="Times New Roman" w:hAnsi="Times New Roman" w:eastAsia="Arial" w:eastAsiaTheme="majorEastAsia"/>
          <w:sz w:val="24"/>
          <w:szCs w:val="24"/>
        </w:rPr>
        <w:t>w ramach współpracy z Biblioteką Prawniczą dofinansowanie zakupu baz/podręczników wskazanych przez prowadzących zajęcia jako materiały dydaktyczne.</w:t>
      </w:r>
    </w:p>
    <w:p w:rsidRPr="0011155D" w:rsidR="00261066" w:rsidP="0011155D" w:rsidRDefault="00261066" w14:paraId="04A893C0" w14:textId="77777777">
      <w:pPr>
        <w:spacing w:after="0" w:line="360" w:lineRule="auto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11155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Pr="00517245" w:rsidR="00406545" w:rsidP="00517245" w:rsidRDefault="00406545" w14:paraId="62728312" w14:textId="5326D92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245">
        <w:rPr>
          <w:rFonts w:ascii="Times New Roman" w:hAnsi="Times New Roman"/>
          <w:b/>
          <w:bCs/>
          <w:sz w:val="24"/>
          <w:szCs w:val="24"/>
        </w:rPr>
        <w:lastRenderedPageBreak/>
        <w:t>INFORMACJE</w:t>
      </w:r>
      <w:r w:rsidRPr="00517245" w:rsidR="009B1D2B">
        <w:rPr>
          <w:rFonts w:ascii="Times New Roman" w:hAnsi="Times New Roman"/>
          <w:b/>
          <w:bCs/>
          <w:sz w:val="24"/>
          <w:szCs w:val="24"/>
        </w:rPr>
        <w:t xml:space="preserve"> DODATKOWE</w:t>
      </w:r>
    </w:p>
    <w:p w:rsidRPr="00517245" w:rsidR="5E4624DE" w:rsidP="00517245" w:rsidRDefault="5E4624DE" w14:paraId="295CE461" w14:textId="31EB2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W roku akademickim 2022/2023 na Uniwersytecie Śląskim prowadzonych by</w:t>
      </w:r>
      <w:r w:rsidRPr="00517245" w:rsidR="09F7A5C3">
        <w:rPr>
          <w:rFonts w:ascii="Times New Roman" w:hAnsi="Times New Roman"/>
          <w:sz w:val="24"/>
          <w:szCs w:val="24"/>
        </w:rPr>
        <w:t>ło</w:t>
      </w:r>
      <w:r w:rsidRPr="00517245">
        <w:rPr>
          <w:rFonts w:ascii="Times New Roman" w:hAnsi="Times New Roman"/>
          <w:sz w:val="24"/>
          <w:szCs w:val="24"/>
        </w:rPr>
        <w:t xml:space="preserve"> 83</w:t>
      </w:r>
      <w:r w:rsidRPr="00517245" w:rsidR="6688BF50">
        <w:rPr>
          <w:rFonts w:ascii="Times New Roman" w:hAnsi="Times New Roman"/>
          <w:sz w:val="24"/>
          <w:szCs w:val="24"/>
        </w:rPr>
        <w:t xml:space="preserve"> kierunki</w:t>
      </w:r>
      <w:r w:rsidRPr="00517245">
        <w:rPr>
          <w:rFonts w:ascii="Times New Roman" w:hAnsi="Times New Roman"/>
          <w:sz w:val="24"/>
          <w:szCs w:val="24"/>
        </w:rPr>
        <w:t>, w</w:t>
      </w:r>
      <w:r w:rsidR="0029792E">
        <w:rPr>
          <w:rFonts w:ascii="Times New Roman" w:hAnsi="Times New Roman"/>
          <w:sz w:val="24"/>
          <w:szCs w:val="24"/>
        </w:rPr>
        <w:t> </w:t>
      </w:r>
      <w:r w:rsidRPr="00517245">
        <w:rPr>
          <w:rFonts w:ascii="Times New Roman" w:hAnsi="Times New Roman"/>
          <w:sz w:val="24"/>
          <w:szCs w:val="24"/>
        </w:rPr>
        <w:t>tym</w:t>
      </w:r>
      <w:r w:rsidRPr="00517245" w:rsidR="5F955F81">
        <w:rPr>
          <w:rFonts w:ascii="Times New Roman" w:hAnsi="Times New Roman"/>
          <w:sz w:val="24"/>
          <w:szCs w:val="24"/>
        </w:rPr>
        <w:t>:</w:t>
      </w:r>
      <w:r w:rsidRPr="00517245">
        <w:rPr>
          <w:rFonts w:ascii="Times New Roman" w:hAnsi="Times New Roman"/>
          <w:sz w:val="24"/>
          <w:szCs w:val="24"/>
        </w:rPr>
        <w:t xml:space="preserve"> 1 kierunek </w:t>
      </w:r>
      <w:proofErr w:type="spellStart"/>
      <w:r w:rsidRPr="00517245">
        <w:rPr>
          <w:rFonts w:ascii="Times New Roman" w:hAnsi="Times New Roman"/>
          <w:sz w:val="24"/>
          <w:szCs w:val="24"/>
        </w:rPr>
        <w:t>międzyobszarowy</w:t>
      </w:r>
      <w:proofErr w:type="spellEnd"/>
      <w:r w:rsidRPr="00517245">
        <w:rPr>
          <w:rFonts w:ascii="Times New Roman" w:hAnsi="Times New Roman"/>
          <w:sz w:val="24"/>
          <w:szCs w:val="24"/>
        </w:rPr>
        <w:t>, 6 kierunków prowadzonych w języku angielskim. Liczba specjalności na</w:t>
      </w:r>
      <w:r w:rsidRPr="00517245" w:rsidR="2BFEB1B1">
        <w:rPr>
          <w:rFonts w:ascii="Times New Roman" w:hAnsi="Times New Roman"/>
          <w:sz w:val="24"/>
          <w:szCs w:val="24"/>
        </w:rPr>
        <w:t xml:space="preserve"> wszystkich</w:t>
      </w:r>
      <w:r w:rsidRPr="00517245">
        <w:rPr>
          <w:rFonts w:ascii="Times New Roman" w:hAnsi="Times New Roman"/>
          <w:sz w:val="24"/>
          <w:szCs w:val="24"/>
        </w:rPr>
        <w:t xml:space="preserve"> kierunkach wyniosła 205 </w:t>
      </w:r>
      <w:r w:rsidRPr="00517245" w:rsidR="4AC659A4">
        <w:rPr>
          <w:rFonts w:ascii="Times New Roman" w:hAnsi="Times New Roman"/>
          <w:sz w:val="24"/>
          <w:szCs w:val="24"/>
        </w:rPr>
        <w:t>(</w:t>
      </w:r>
      <w:r w:rsidRPr="00517245">
        <w:rPr>
          <w:rFonts w:ascii="Times New Roman" w:hAnsi="Times New Roman"/>
          <w:sz w:val="24"/>
          <w:szCs w:val="24"/>
        </w:rPr>
        <w:t>w tym 12 w języku angielskim</w:t>
      </w:r>
      <w:r w:rsidRPr="00517245" w:rsidR="7A1E7C55">
        <w:rPr>
          <w:rFonts w:ascii="Times New Roman" w:hAnsi="Times New Roman"/>
          <w:sz w:val="24"/>
          <w:szCs w:val="24"/>
        </w:rPr>
        <w:t>)</w:t>
      </w:r>
      <w:r w:rsidRPr="00517245">
        <w:rPr>
          <w:rFonts w:ascii="Times New Roman" w:hAnsi="Times New Roman"/>
          <w:sz w:val="24"/>
          <w:szCs w:val="24"/>
        </w:rPr>
        <w:t>.</w:t>
      </w:r>
    </w:p>
    <w:p w:rsidRPr="00517245" w:rsidR="000E362B" w:rsidP="00517245" w:rsidRDefault="05143039" w14:paraId="5C766B40" w14:textId="694C899B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b/>
          <w:bCs/>
          <w:sz w:val="24"/>
          <w:szCs w:val="24"/>
        </w:rPr>
        <w:t>Utworzone</w:t>
      </w:r>
      <w:r w:rsidRPr="00517245" w:rsidR="432F187D"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517245">
        <w:rPr>
          <w:rFonts w:ascii="Times New Roman" w:hAnsi="Times New Roman"/>
          <w:b/>
          <w:bCs/>
          <w:sz w:val="24"/>
          <w:szCs w:val="24"/>
        </w:rPr>
        <w:t>roku ak</w:t>
      </w:r>
      <w:r w:rsidRPr="00517245" w:rsidR="2221B44E">
        <w:rPr>
          <w:rFonts w:ascii="Times New Roman" w:hAnsi="Times New Roman"/>
          <w:b/>
          <w:bCs/>
          <w:sz w:val="24"/>
          <w:szCs w:val="24"/>
        </w:rPr>
        <w:t>ademickim</w:t>
      </w:r>
      <w:r w:rsidRPr="00517245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Pr="00517245" w:rsidR="7195E002">
        <w:rPr>
          <w:rFonts w:ascii="Times New Roman" w:hAnsi="Times New Roman"/>
          <w:b/>
          <w:bCs/>
          <w:sz w:val="24"/>
          <w:szCs w:val="24"/>
        </w:rPr>
        <w:t>2</w:t>
      </w:r>
      <w:r w:rsidRPr="00517245">
        <w:rPr>
          <w:rFonts w:ascii="Times New Roman" w:hAnsi="Times New Roman"/>
          <w:b/>
          <w:bCs/>
          <w:sz w:val="24"/>
          <w:szCs w:val="24"/>
        </w:rPr>
        <w:t>/</w:t>
      </w:r>
      <w:r w:rsidRPr="00517245" w:rsidR="409C5929">
        <w:rPr>
          <w:rFonts w:ascii="Times New Roman" w:hAnsi="Times New Roman"/>
          <w:b/>
          <w:bCs/>
          <w:sz w:val="24"/>
          <w:szCs w:val="24"/>
        </w:rPr>
        <w:t>2</w:t>
      </w:r>
      <w:r w:rsidRPr="00517245" w:rsidR="1A4552E6">
        <w:rPr>
          <w:rFonts w:ascii="Times New Roman" w:hAnsi="Times New Roman"/>
          <w:b/>
          <w:bCs/>
          <w:sz w:val="24"/>
          <w:szCs w:val="24"/>
        </w:rPr>
        <w:t>023</w:t>
      </w:r>
      <w:r w:rsidRPr="00517245" w:rsidR="409C5929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Pr="00517245" w:rsidR="4F1CA94A">
        <w:rPr>
          <w:rFonts w:ascii="Times New Roman" w:hAnsi="Times New Roman"/>
          <w:b/>
          <w:bCs/>
          <w:sz w:val="24"/>
          <w:szCs w:val="24"/>
        </w:rPr>
        <w:t>owe programy</w:t>
      </w:r>
      <w:r w:rsidRPr="00517245" w:rsidR="409C5929">
        <w:rPr>
          <w:rFonts w:ascii="Times New Roman" w:hAnsi="Times New Roman"/>
          <w:b/>
          <w:bCs/>
          <w:sz w:val="24"/>
          <w:szCs w:val="24"/>
        </w:rPr>
        <w:t xml:space="preserve"> studiów: </w:t>
      </w:r>
    </w:p>
    <w:p w:rsidRPr="00517245" w:rsidR="000E362B" w:rsidP="00517245" w:rsidRDefault="004C0087" w14:paraId="0E6F6DCD" w14:textId="67137243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l</w:t>
      </w:r>
      <w:r w:rsidRPr="00517245" w:rsidR="00C2087F">
        <w:rPr>
          <w:rFonts w:ascii="Times New Roman" w:hAnsi="Times New Roman" w:eastAsia="Times New Roman"/>
          <w:sz w:val="24"/>
          <w:szCs w:val="24"/>
        </w:rPr>
        <w:t xml:space="preserve">ogopedia, </w:t>
      </w:r>
      <w:r w:rsidRPr="00517245" w:rsidR="00694342">
        <w:rPr>
          <w:rFonts w:ascii="Times New Roman" w:hAnsi="Times New Roman" w:eastAsia="Times New Roman"/>
          <w:sz w:val="24"/>
          <w:szCs w:val="24"/>
        </w:rPr>
        <w:t xml:space="preserve">st. </w:t>
      </w:r>
      <w:r w:rsidRPr="00517245" w:rsidR="00C2087F">
        <w:rPr>
          <w:rFonts w:ascii="Times New Roman" w:hAnsi="Times New Roman" w:eastAsia="Times New Roman"/>
          <w:sz w:val="24"/>
          <w:szCs w:val="24"/>
        </w:rPr>
        <w:t>II stopnia</w:t>
      </w:r>
      <w:r w:rsidRPr="00517245" w:rsidR="40A8EB4D">
        <w:rPr>
          <w:rFonts w:ascii="Times New Roman" w:hAnsi="Times New Roman" w:eastAsia="Times New Roman"/>
          <w:sz w:val="24"/>
          <w:szCs w:val="24"/>
        </w:rPr>
        <w:t>, stacjonarne.</w:t>
      </w:r>
    </w:p>
    <w:p w:rsidRPr="00517245" w:rsidR="2D1D27A0" w:rsidP="00517245" w:rsidRDefault="05143039" w14:paraId="2C3AE208" w14:textId="7BA84ED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b/>
          <w:bCs/>
          <w:sz w:val="24"/>
          <w:szCs w:val="24"/>
        </w:rPr>
        <w:t>Zlikwidowane</w:t>
      </w:r>
      <w:r w:rsidRPr="00517245" w:rsidR="432F187D">
        <w:rPr>
          <w:rFonts w:ascii="Times New Roman" w:hAnsi="Times New Roman"/>
          <w:b/>
          <w:bCs/>
          <w:sz w:val="24"/>
          <w:szCs w:val="24"/>
        </w:rPr>
        <w:t xml:space="preserve"> w </w:t>
      </w:r>
      <w:r w:rsidRPr="00517245">
        <w:rPr>
          <w:rFonts w:ascii="Times New Roman" w:hAnsi="Times New Roman"/>
          <w:b/>
          <w:bCs/>
          <w:sz w:val="24"/>
          <w:szCs w:val="24"/>
        </w:rPr>
        <w:t>roku akademickim 202</w:t>
      </w:r>
      <w:r w:rsidRPr="00517245" w:rsidR="3F174043">
        <w:rPr>
          <w:rFonts w:ascii="Times New Roman" w:hAnsi="Times New Roman"/>
          <w:b/>
          <w:bCs/>
          <w:sz w:val="24"/>
          <w:szCs w:val="24"/>
        </w:rPr>
        <w:t>2</w:t>
      </w:r>
      <w:r w:rsidRPr="00517245">
        <w:rPr>
          <w:rFonts w:ascii="Times New Roman" w:hAnsi="Times New Roman"/>
          <w:b/>
          <w:bCs/>
          <w:sz w:val="24"/>
          <w:szCs w:val="24"/>
        </w:rPr>
        <w:t>/20</w:t>
      </w:r>
      <w:r w:rsidRPr="00517245" w:rsidR="409C5929">
        <w:rPr>
          <w:rFonts w:ascii="Times New Roman" w:hAnsi="Times New Roman"/>
          <w:b/>
          <w:bCs/>
          <w:sz w:val="24"/>
          <w:szCs w:val="24"/>
        </w:rPr>
        <w:t>2</w:t>
      </w:r>
      <w:r w:rsidRPr="00517245" w:rsidR="6D463404">
        <w:rPr>
          <w:rFonts w:ascii="Times New Roman" w:hAnsi="Times New Roman"/>
          <w:b/>
          <w:bCs/>
          <w:sz w:val="24"/>
          <w:szCs w:val="24"/>
        </w:rPr>
        <w:t>3</w:t>
      </w:r>
      <w:r w:rsidRPr="00517245" w:rsidR="409C59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245" w:rsidR="1CD0C671">
        <w:rPr>
          <w:rFonts w:ascii="Times New Roman" w:hAnsi="Times New Roman"/>
          <w:b/>
          <w:bCs/>
          <w:sz w:val="24"/>
          <w:szCs w:val="24"/>
        </w:rPr>
        <w:t>program</w:t>
      </w:r>
      <w:r w:rsidRPr="00517245" w:rsidR="409C5929">
        <w:rPr>
          <w:rFonts w:ascii="Times New Roman" w:hAnsi="Times New Roman"/>
          <w:b/>
          <w:bCs/>
          <w:sz w:val="24"/>
          <w:szCs w:val="24"/>
        </w:rPr>
        <w:t>y studiów</w:t>
      </w:r>
      <w:r w:rsidRPr="00517245" w:rsidR="4F1CA94A">
        <w:rPr>
          <w:rFonts w:ascii="Times New Roman" w:hAnsi="Times New Roman"/>
          <w:b/>
          <w:bCs/>
          <w:sz w:val="24"/>
          <w:szCs w:val="24"/>
        </w:rPr>
        <w:t>:</w:t>
      </w:r>
      <w:r w:rsidRPr="00517245" w:rsidR="1B2D90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Pr="00517245" w:rsidR="68D3987B" w:rsidP="00517245" w:rsidRDefault="17E8DEEF" w14:paraId="72B0628F" w14:textId="7C3D2BA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 xml:space="preserve">Indywidualne Studia </w:t>
      </w:r>
      <w:proofErr w:type="spellStart"/>
      <w:r w:rsidRPr="00517245">
        <w:rPr>
          <w:rFonts w:ascii="Times New Roman" w:hAnsi="Times New Roman" w:eastAsia="Times New Roman"/>
          <w:sz w:val="24"/>
          <w:szCs w:val="24"/>
        </w:rPr>
        <w:t>Międzyobszarowe</w:t>
      </w:r>
      <w:proofErr w:type="spellEnd"/>
      <w:r w:rsidRPr="00517245" w:rsidR="5C9647BD">
        <w:rPr>
          <w:rFonts w:ascii="Times New Roman" w:hAnsi="Times New Roman" w:eastAsia="Times New Roman"/>
          <w:sz w:val="24"/>
          <w:szCs w:val="24"/>
        </w:rPr>
        <w:t xml:space="preserve">, st. I </w:t>
      </w:r>
      <w:proofErr w:type="spellStart"/>
      <w:r w:rsidRPr="00517245" w:rsidR="5C9647BD">
        <w:rPr>
          <w:rFonts w:ascii="Times New Roman" w:hAnsi="Times New Roman" w:eastAsia="Times New Roman"/>
          <w:sz w:val="24"/>
          <w:szCs w:val="24"/>
        </w:rPr>
        <w:t>i</w:t>
      </w:r>
      <w:proofErr w:type="spellEnd"/>
      <w:r w:rsidRPr="00517245" w:rsidR="5C9647BD">
        <w:rPr>
          <w:rFonts w:ascii="Times New Roman" w:hAnsi="Times New Roman" w:eastAsia="Times New Roman"/>
          <w:sz w:val="24"/>
          <w:szCs w:val="24"/>
        </w:rPr>
        <w:t xml:space="preserve"> II stopnia, stacjonarne,</w:t>
      </w:r>
    </w:p>
    <w:p w:rsidRPr="00517245" w:rsidR="68D3987B" w:rsidP="00517245" w:rsidRDefault="3C96EDFF" w14:paraId="3DD8A14B" w14:textId="440C272D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 xml:space="preserve">nauki o rodzinie, st. I </w:t>
      </w:r>
      <w:proofErr w:type="spellStart"/>
      <w:r w:rsidRPr="00517245">
        <w:rPr>
          <w:rFonts w:ascii="Times New Roman" w:hAnsi="Times New Roman" w:eastAsia="Times New Roman"/>
          <w:sz w:val="24"/>
          <w:szCs w:val="24"/>
        </w:rPr>
        <w:t>i</w:t>
      </w:r>
      <w:proofErr w:type="spellEnd"/>
      <w:r w:rsidRPr="00517245">
        <w:rPr>
          <w:rFonts w:ascii="Times New Roman" w:hAnsi="Times New Roman" w:eastAsia="Times New Roman"/>
          <w:sz w:val="24"/>
          <w:szCs w:val="24"/>
        </w:rPr>
        <w:t xml:space="preserve"> II stopnia, niestacjonarne</w:t>
      </w:r>
      <w:r w:rsidRPr="00517245" w:rsidR="014852C1">
        <w:rPr>
          <w:rFonts w:ascii="Times New Roman" w:hAnsi="Times New Roman" w:eastAsia="Times New Roman"/>
          <w:sz w:val="24"/>
          <w:szCs w:val="24"/>
        </w:rPr>
        <w:t xml:space="preserve"> </w:t>
      </w:r>
    </w:p>
    <w:p w:rsidRPr="00517245" w:rsidR="35810051" w:rsidP="00517245" w:rsidRDefault="6BE490B8" w14:paraId="68A9EC3A" w14:textId="76C6F63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pedagogika osób niepełnosprawnych z arteterapią, st. II stopnia, stacjonarne i</w:t>
      </w:r>
      <w:r w:rsidR="0029792E">
        <w:rPr>
          <w:rFonts w:ascii="Times New Roman" w:hAnsi="Times New Roman" w:eastAsia="Times New Roman"/>
          <w:sz w:val="24"/>
          <w:szCs w:val="24"/>
        </w:rPr>
        <w:t> </w:t>
      </w:r>
      <w:r w:rsidRPr="00517245">
        <w:rPr>
          <w:rFonts w:ascii="Times New Roman" w:hAnsi="Times New Roman" w:eastAsia="Times New Roman"/>
          <w:sz w:val="24"/>
          <w:szCs w:val="24"/>
        </w:rPr>
        <w:t>niestacjonarne</w:t>
      </w:r>
      <w:r w:rsidRPr="00517245" w:rsidR="464794D9">
        <w:rPr>
          <w:rFonts w:ascii="Times New Roman" w:hAnsi="Times New Roman" w:eastAsia="Times New Roman"/>
          <w:sz w:val="24"/>
          <w:szCs w:val="24"/>
        </w:rPr>
        <w:t xml:space="preserve"> (Cieszyn)</w:t>
      </w:r>
      <w:r w:rsidRPr="00517245">
        <w:rPr>
          <w:rFonts w:ascii="Times New Roman" w:hAnsi="Times New Roman" w:eastAsia="Times New Roman"/>
          <w:sz w:val="24"/>
          <w:szCs w:val="24"/>
        </w:rPr>
        <w:t xml:space="preserve">.  </w:t>
      </w:r>
    </w:p>
    <w:p w:rsidRPr="00517245" w:rsidR="00E74041" w:rsidP="00517245" w:rsidRDefault="23E44B17" w14:paraId="72277BD7" w14:textId="56595444">
      <w:pPr>
        <w:pBdr>
          <w:left w:val="none" w:color="000000" w:sz="4" w:space="3"/>
        </w:pBdr>
        <w:spacing w:after="0" w:line="360" w:lineRule="auto"/>
        <w:jc w:val="both"/>
        <w:rPr>
          <w:rFonts w:ascii="Times New Roman" w:hAnsi="Times New Roman" w:eastAsia="Times New Roman"/>
          <w:b/>
          <w:bCs/>
          <w:sz w:val="24"/>
          <w:szCs w:val="24"/>
        </w:rPr>
      </w:pPr>
      <w:r w:rsidRPr="00517245">
        <w:rPr>
          <w:rFonts w:ascii="Times New Roman" w:hAnsi="Times New Roman" w:eastAsia="Times New Roman"/>
          <w:b/>
          <w:bCs/>
          <w:sz w:val="24"/>
          <w:szCs w:val="24"/>
        </w:rPr>
        <w:t xml:space="preserve">Zarządzenia </w:t>
      </w:r>
      <w:r w:rsidRPr="00517245" w:rsidR="5E7FD20D">
        <w:rPr>
          <w:rFonts w:ascii="Times New Roman" w:hAnsi="Times New Roman" w:eastAsia="Times New Roman"/>
          <w:b/>
          <w:bCs/>
          <w:sz w:val="24"/>
          <w:szCs w:val="24"/>
        </w:rPr>
        <w:t xml:space="preserve">i uchwały </w:t>
      </w:r>
      <w:r w:rsidRPr="00517245" w:rsidR="409C5929">
        <w:rPr>
          <w:rFonts w:ascii="Times New Roman" w:hAnsi="Times New Roman" w:eastAsia="Times New Roman"/>
          <w:b/>
          <w:bCs/>
          <w:sz w:val="24"/>
          <w:szCs w:val="24"/>
        </w:rPr>
        <w:t xml:space="preserve">odnoszące się do zagadnień zapewniania </w:t>
      </w:r>
      <w:r w:rsidRPr="00517245">
        <w:rPr>
          <w:rFonts w:ascii="Times New Roman" w:hAnsi="Times New Roman" w:eastAsia="Times New Roman"/>
          <w:b/>
          <w:bCs/>
          <w:sz w:val="24"/>
          <w:szCs w:val="24"/>
        </w:rPr>
        <w:t>jakości</w:t>
      </w:r>
      <w:r w:rsidRPr="00517245" w:rsidR="4BE0C15B"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 w:rsidRPr="00517245">
        <w:rPr>
          <w:rFonts w:ascii="Times New Roman" w:hAnsi="Times New Roman" w:eastAsia="Times New Roman"/>
          <w:b/>
          <w:bCs/>
          <w:sz w:val="24"/>
          <w:szCs w:val="24"/>
        </w:rPr>
        <w:t>kształcenia</w:t>
      </w:r>
      <w:r w:rsidRPr="00517245" w:rsidR="3758CF24">
        <w:rPr>
          <w:rFonts w:ascii="Times New Roman" w:hAnsi="Times New Roman" w:eastAsia="Times New Roman"/>
          <w:b/>
          <w:bCs/>
          <w:sz w:val="24"/>
          <w:szCs w:val="24"/>
        </w:rPr>
        <w:t xml:space="preserve"> (2022/2023)</w:t>
      </w:r>
      <w:r w:rsidRPr="00517245">
        <w:rPr>
          <w:rFonts w:ascii="Times New Roman" w:hAnsi="Times New Roman" w:eastAsia="Times New Roman"/>
          <w:b/>
          <w:bCs/>
          <w:sz w:val="24"/>
          <w:szCs w:val="24"/>
        </w:rPr>
        <w:t>:</w:t>
      </w:r>
    </w:p>
    <w:p w:rsidRPr="00517245" w:rsidR="7B65B90A" w:rsidP="00517245" w:rsidRDefault="7B65B90A" w14:paraId="658949AD" w14:textId="70FE9A25">
      <w:pPr>
        <w:pStyle w:val="Akapitzlist"/>
        <w:numPr>
          <w:ilvl w:val="0"/>
          <w:numId w:val="60"/>
        </w:numPr>
        <w:pBdr>
          <w:left w:val="none" w:color="000000" w:sz="4" w:space="3"/>
        </w:pBd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u</w:t>
      </w:r>
      <w:r w:rsidRPr="00517245" w:rsidR="3F36DA36">
        <w:rPr>
          <w:rFonts w:ascii="Times New Roman" w:hAnsi="Times New Roman" w:eastAsia="Times New Roman"/>
          <w:sz w:val="24"/>
          <w:szCs w:val="24"/>
        </w:rPr>
        <w:t>chwała</w:t>
      </w:r>
      <w:r w:rsidRPr="00517245" w:rsidR="4BB8FB60">
        <w:rPr>
          <w:rFonts w:ascii="Times New Roman" w:hAnsi="Times New Roman" w:eastAsia="Times New Roman"/>
          <w:sz w:val="24"/>
          <w:szCs w:val="24"/>
        </w:rPr>
        <w:t xml:space="preserve"> nr 375 Senatu Uniwersytetu Śląskiego w Katowicach</w:t>
      </w:r>
      <w:r w:rsidRPr="00517245" w:rsidR="342839FA">
        <w:rPr>
          <w:rFonts w:ascii="Times New Roman" w:hAnsi="Times New Roman" w:eastAsia="Times New Roman"/>
          <w:sz w:val="24"/>
          <w:szCs w:val="24"/>
        </w:rPr>
        <w:t xml:space="preserve"> z dnia 25 kwietnia 2023 r.</w:t>
      </w:r>
      <w:r w:rsidRPr="00517245" w:rsidR="3F36DA36">
        <w:rPr>
          <w:rFonts w:ascii="Times New Roman" w:hAnsi="Times New Roman" w:eastAsia="Times New Roman"/>
          <w:sz w:val="24"/>
          <w:szCs w:val="24"/>
        </w:rPr>
        <w:t xml:space="preserve"> </w:t>
      </w:r>
      <w:r w:rsidRPr="00517245" w:rsidR="15B3E06C">
        <w:rPr>
          <w:rFonts w:ascii="Times New Roman" w:hAnsi="Times New Roman" w:eastAsia="Times New Roman"/>
          <w:sz w:val="24"/>
          <w:szCs w:val="24"/>
        </w:rPr>
        <w:t>w</w:t>
      </w:r>
      <w:r w:rsidR="0029792E">
        <w:rPr>
          <w:rFonts w:ascii="Times New Roman" w:hAnsi="Times New Roman" w:eastAsia="Times New Roman"/>
          <w:sz w:val="24"/>
          <w:szCs w:val="24"/>
        </w:rPr>
        <w:t> </w:t>
      </w:r>
      <w:r w:rsidRPr="00517245" w:rsidR="15B3E06C">
        <w:rPr>
          <w:rFonts w:ascii="Times New Roman" w:hAnsi="Times New Roman" w:eastAsia="Times New Roman"/>
          <w:sz w:val="24"/>
          <w:szCs w:val="24"/>
        </w:rPr>
        <w:t>sprawie uchwalenia Regulaminu studiów w Uniwersytecie Śląskim w Katowicach.</w:t>
      </w:r>
    </w:p>
    <w:p w:rsidRPr="00517245" w:rsidR="48F86320" w:rsidP="00517245" w:rsidRDefault="0DB49AFB" w14:paraId="0EBB513E" w14:textId="455DA082">
      <w:pPr>
        <w:pStyle w:val="Akapitzlist"/>
        <w:numPr>
          <w:ilvl w:val="0"/>
          <w:numId w:val="60"/>
        </w:numPr>
        <w:pBdr>
          <w:left w:val="none" w:color="000000" w:sz="4" w:space="3"/>
        </w:pBd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u</w:t>
      </w:r>
      <w:r w:rsidRPr="00517245" w:rsidR="74EF7B75">
        <w:rPr>
          <w:rFonts w:ascii="Times New Roman" w:hAnsi="Times New Roman" w:eastAsia="Times New Roman"/>
          <w:sz w:val="24"/>
          <w:szCs w:val="24"/>
        </w:rPr>
        <w:t xml:space="preserve">chwała nr 385 Senatu Uniwersytetu Śląskiego w Katowicach z dnia 23 maja 2023 r. </w:t>
      </w:r>
      <w:r w:rsidRPr="00517245" w:rsidR="4E42BCFD">
        <w:rPr>
          <w:rFonts w:ascii="Times New Roman" w:hAnsi="Times New Roman" w:eastAsia="Times New Roman"/>
          <w:sz w:val="24"/>
          <w:szCs w:val="24"/>
        </w:rPr>
        <w:t>w</w:t>
      </w:r>
      <w:r w:rsidR="0029792E">
        <w:rPr>
          <w:rFonts w:ascii="Times New Roman" w:hAnsi="Times New Roman" w:eastAsia="Times New Roman"/>
          <w:sz w:val="24"/>
          <w:szCs w:val="24"/>
        </w:rPr>
        <w:t> </w:t>
      </w:r>
      <w:r w:rsidRPr="00517245" w:rsidR="4E42BCFD">
        <w:rPr>
          <w:rFonts w:ascii="Times New Roman" w:hAnsi="Times New Roman" w:eastAsia="Times New Roman"/>
          <w:sz w:val="24"/>
          <w:szCs w:val="24"/>
        </w:rPr>
        <w:t>sprawie wytycznych dotyczących</w:t>
      </w:r>
      <w:r w:rsidRPr="00517245" w:rsidR="705DE209">
        <w:rPr>
          <w:rFonts w:ascii="Times New Roman" w:hAnsi="Times New Roman" w:eastAsia="Times New Roman"/>
          <w:sz w:val="24"/>
          <w:szCs w:val="24"/>
        </w:rPr>
        <w:t xml:space="preserve"> wymagań w zakresie tworzenia i zmiany programów studiów prowadzonych w Uniwersytecie Śląskiem w Katowicach.</w:t>
      </w:r>
    </w:p>
    <w:p w:rsidRPr="00517245" w:rsidR="2AA0A368" w:rsidP="00517245" w:rsidRDefault="09A5B8CC" w14:paraId="05AEAEBC" w14:textId="00604389">
      <w:pPr>
        <w:pStyle w:val="Akapitzlist"/>
        <w:numPr>
          <w:ilvl w:val="0"/>
          <w:numId w:val="60"/>
        </w:numPr>
        <w:pBdr>
          <w:left w:val="none" w:color="000000" w:sz="4" w:space="3"/>
        </w:pBd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z</w:t>
      </w:r>
      <w:r w:rsidRPr="00517245" w:rsidR="310D0122">
        <w:rPr>
          <w:rFonts w:ascii="Times New Roman" w:hAnsi="Times New Roman" w:eastAsia="Times New Roman"/>
          <w:sz w:val="24"/>
          <w:szCs w:val="24"/>
        </w:rPr>
        <w:t>arządzenie nr 1</w:t>
      </w:r>
      <w:r w:rsidRPr="00517245" w:rsidR="5DD93A33">
        <w:rPr>
          <w:rFonts w:ascii="Times New Roman" w:hAnsi="Times New Roman" w:eastAsia="Times New Roman"/>
          <w:sz w:val="24"/>
          <w:szCs w:val="24"/>
        </w:rPr>
        <w:t>1</w:t>
      </w:r>
      <w:r w:rsidRPr="00517245" w:rsidR="310D0122">
        <w:rPr>
          <w:rFonts w:ascii="Times New Roman" w:hAnsi="Times New Roman" w:eastAsia="Times New Roman"/>
          <w:sz w:val="24"/>
          <w:szCs w:val="24"/>
        </w:rPr>
        <w:t xml:space="preserve">3 Rektora Uniwersytetu </w:t>
      </w:r>
      <w:r w:rsidRPr="00517245" w:rsidR="57B73938">
        <w:rPr>
          <w:rFonts w:ascii="Times New Roman" w:hAnsi="Times New Roman" w:eastAsia="Times New Roman"/>
          <w:sz w:val="24"/>
          <w:szCs w:val="24"/>
        </w:rPr>
        <w:t>Ś</w:t>
      </w:r>
      <w:r w:rsidRPr="00517245" w:rsidR="310D0122">
        <w:rPr>
          <w:rFonts w:ascii="Times New Roman" w:hAnsi="Times New Roman" w:eastAsia="Times New Roman"/>
          <w:sz w:val="24"/>
          <w:szCs w:val="24"/>
        </w:rPr>
        <w:t>ląskiego w Katowicach</w:t>
      </w:r>
      <w:r w:rsidRPr="00517245" w:rsidR="14409028">
        <w:rPr>
          <w:rFonts w:ascii="Times New Roman" w:hAnsi="Times New Roman" w:eastAsia="Times New Roman"/>
          <w:sz w:val="24"/>
          <w:szCs w:val="24"/>
        </w:rPr>
        <w:t xml:space="preserve"> z dnia 13 lipca 2023 r. w sprawie określenia maksymalnej liczby godzin w programach studiów.</w:t>
      </w:r>
      <w:r w:rsidRPr="00517245" w:rsidR="310D0122">
        <w:rPr>
          <w:rFonts w:ascii="Times New Roman" w:hAnsi="Times New Roman" w:eastAsia="Times New Roman"/>
          <w:sz w:val="24"/>
          <w:szCs w:val="24"/>
        </w:rPr>
        <w:t xml:space="preserve">  </w:t>
      </w:r>
    </w:p>
    <w:p w:rsidRPr="00517245" w:rsidR="43276A3D" w:rsidP="00517245" w:rsidRDefault="43276A3D" w14:paraId="0253DDDF" w14:textId="36AA6EE3">
      <w:pPr>
        <w:pStyle w:val="Akapitzlist"/>
        <w:numPr>
          <w:ilvl w:val="0"/>
          <w:numId w:val="60"/>
        </w:numPr>
        <w:pBdr>
          <w:left w:val="none" w:color="000000" w:sz="4" w:space="3"/>
        </w:pBd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</w:rPr>
      </w:pPr>
      <w:r w:rsidRPr="00517245">
        <w:rPr>
          <w:rFonts w:ascii="Times New Roman" w:hAnsi="Times New Roman" w:eastAsia="Times New Roman"/>
          <w:sz w:val="24"/>
          <w:szCs w:val="24"/>
        </w:rPr>
        <w:t>uchwała nr 1 Komisji ds. Kształcenia i Studentów z dnia 15 grudnia 2022 r. - “</w:t>
      </w:r>
      <w:r w:rsidRPr="00517245" w:rsidR="0C8F0C1D">
        <w:rPr>
          <w:rFonts w:ascii="Times New Roman" w:hAnsi="Times New Roman" w:eastAsia="Times New Roman"/>
          <w:sz w:val="24"/>
          <w:szCs w:val="24"/>
        </w:rPr>
        <w:t>Procedury Systemu Zapewniania Jakości Kształcenia dla Wydziałó</w:t>
      </w:r>
      <w:r w:rsidRPr="00517245" w:rsidR="77537810">
        <w:rPr>
          <w:rFonts w:ascii="Times New Roman" w:hAnsi="Times New Roman" w:eastAsia="Times New Roman"/>
          <w:sz w:val="24"/>
          <w:szCs w:val="24"/>
        </w:rPr>
        <w:t>w Uniwersytetu Śląskiego w</w:t>
      </w:r>
      <w:r w:rsidR="0029792E">
        <w:rPr>
          <w:rFonts w:ascii="Times New Roman" w:hAnsi="Times New Roman" w:eastAsia="Times New Roman"/>
          <w:sz w:val="24"/>
          <w:szCs w:val="24"/>
        </w:rPr>
        <w:t> </w:t>
      </w:r>
      <w:r w:rsidRPr="00517245" w:rsidR="77537810">
        <w:rPr>
          <w:rFonts w:ascii="Times New Roman" w:hAnsi="Times New Roman" w:eastAsia="Times New Roman"/>
          <w:sz w:val="24"/>
          <w:szCs w:val="24"/>
        </w:rPr>
        <w:t>Katowicach</w:t>
      </w:r>
      <w:r w:rsidRPr="00517245" w:rsidR="3EFA07B2">
        <w:rPr>
          <w:rFonts w:ascii="Times New Roman" w:hAnsi="Times New Roman" w:eastAsia="Times New Roman"/>
          <w:sz w:val="24"/>
          <w:szCs w:val="24"/>
        </w:rPr>
        <w:t>” -</w:t>
      </w:r>
      <w:r w:rsidRPr="00517245" w:rsidR="104E7DEE">
        <w:rPr>
          <w:rFonts w:ascii="Times New Roman" w:hAnsi="Times New Roman" w:eastAsia="Times New Roman"/>
          <w:sz w:val="24"/>
          <w:szCs w:val="24"/>
        </w:rPr>
        <w:t xml:space="preserve"> (nowelizacja)</w:t>
      </w:r>
      <w:r w:rsidRPr="00517245" w:rsidR="23DC1507">
        <w:rPr>
          <w:rFonts w:ascii="Times New Roman" w:hAnsi="Times New Roman" w:eastAsia="Times New Roman"/>
          <w:sz w:val="24"/>
          <w:szCs w:val="24"/>
        </w:rPr>
        <w:t>.</w:t>
      </w:r>
      <w:r w:rsidRPr="00517245" w:rsidR="2DAAD775">
        <w:rPr>
          <w:rFonts w:ascii="Times New Roman" w:hAnsi="Times New Roman" w:eastAsia="Times New Roman"/>
          <w:sz w:val="24"/>
          <w:szCs w:val="24"/>
        </w:rPr>
        <w:t xml:space="preserve"> </w:t>
      </w:r>
    </w:p>
    <w:p w:rsidRPr="0011155D" w:rsidR="00121974" w:rsidP="0011155D" w:rsidRDefault="00121974" w14:paraId="701E0F53" w14:textId="4BD9C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17245" w:rsidR="00121974" w:rsidP="00517245" w:rsidRDefault="4F1CA94A" w14:paraId="4C3ECC5A" w14:textId="403A88D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245">
        <w:rPr>
          <w:rFonts w:ascii="Times New Roman" w:hAnsi="Times New Roman"/>
          <w:b/>
          <w:bCs/>
          <w:sz w:val="24"/>
          <w:szCs w:val="24"/>
        </w:rPr>
        <w:t>LISTA ZAŁĄCZNIKÓW (RAPORT</w:t>
      </w:r>
      <w:r w:rsidRPr="00517245" w:rsidR="409C5929">
        <w:rPr>
          <w:rFonts w:ascii="Times New Roman" w:hAnsi="Times New Roman"/>
          <w:b/>
          <w:bCs/>
          <w:sz w:val="24"/>
          <w:szCs w:val="24"/>
        </w:rPr>
        <w:t>Y</w:t>
      </w:r>
      <w:r w:rsidRPr="00517245">
        <w:rPr>
          <w:rFonts w:ascii="Times New Roman" w:hAnsi="Times New Roman"/>
          <w:b/>
          <w:bCs/>
          <w:sz w:val="24"/>
          <w:szCs w:val="24"/>
        </w:rPr>
        <w:t xml:space="preserve"> WYDZIAŁOW</w:t>
      </w:r>
      <w:r w:rsidRPr="00517245" w:rsidR="409C5929">
        <w:rPr>
          <w:rFonts w:ascii="Times New Roman" w:hAnsi="Times New Roman"/>
          <w:b/>
          <w:bCs/>
          <w:sz w:val="24"/>
          <w:szCs w:val="24"/>
        </w:rPr>
        <w:t>E</w:t>
      </w:r>
      <w:r w:rsidRPr="00517245">
        <w:rPr>
          <w:rFonts w:ascii="Times New Roman" w:hAnsi="Times New Roman"/>
          <w:b/>
          <w:bCs/>
          <w:sz w:val="24"/>
          <w:szCs w:val="24"/>
        </w:rPr>
        <w:t>)</w:t>
      </w:r>
    </w:p>
    <w:p w:rsidRPr="00517245" w:rsidR="00261066" w:rsidP="0011155D" w:rsidRDefault="00261066" w14:paraId="2F651F3C" w14:textId="7777777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Pr="00517245" w:rsidR="00694342" w:rsidP="00517245" w:rsidRDefault="000E362B" w14:paraId="093FE42B" w14:textId="0396B2BA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Załącznik nr 1</w:t>
      </w:r>
      <w:r w:rsidRPr="00517245" w:rsidR="00A43B95">
        <w:rPr>
          <w:rFonts w:ascii="Times New Roman" w:hAnsi="Times New Roman"/>
          <w:sz w:val="24"/>
          <w:szCs w:val="24"/>
        </w:rPr>
        <w:t>. Raport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 w:rsidR="00A43B95">
        <w:rPr>
          <w:rFonts w:ascii="Times New Roman" w:hAnsi="Times New Roman"/>
          <w:sz w:val="24"/>
          <w:szCs w:val="24"/>
        </w:rPr>
        <w:t>oceny kierunków studiów na Wydziale Humanistycznym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>zakresie jakości ksz</w:t>
      </w:r>
      <w:r w:rsidRPr="00517245" w:rsidR="00C36727">
        <w:rPr>
          <w:rFonts w:ascii="Times New Roman" w:hAnsi="Times New Roman"/>
          <w:sz w:val="24"/>
          <w:szCs w:val="24"/>
        </w:rPr>
        <w:t>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C36727">
        <w:rPr>
          <w:rFonts w:ascii="Times New Roman" w:hAnsi="Times New Roman"/>
          <w:sz w:val="24"/>
          <w:szCs w:val="24"/>
        </w:rPr>
        <w:t>roku akademickim 202</w:t>
      </w:r>
      <w:r w:rsidRPr="00517245" w:rsidR="20E537EF">
        <w:rPr>
          <w:rFonts w:ascii="Times New Roman" w:hAnsi="Times New Roman"/>
          <w:sz w:val="24"/>
          <w:szCs w:val="24"/>
        </w:rPr>
        <w:t>2</w:t>
      </w:r>
      <w:r w:rsidRPr="00517245" w:rsidR="00C36727">
        <w:rPr>
          <w:rFonts w:ascii="Times New Roman" w:hAnsi="Times New Roman"/>
          <w:sz w:val="24"/>
          <w:szCs w:val="24"/>
        </w:rPr>
        <w:t>/202</w:t>
      </w:r>
      <w:r w:rsidRPr="00517245" w:rsidR="4CEBAE65">
        <w:rPr>
          <w:rFonts w:ascii="Times New Roman" w:hAnsi="Times New Roman"/>
          <w:sz w:val="24"/>
          <w:szCs w:val="24"/>
        </w:rPr>
        <w:t>3</w:t>
      </w:r>
      <w:r w:rsidRPr="00517245" w:rsidR="00A43B95">
        <w:rPr>
          <w:rFonts w:ascii="Times New Roman" w:hAnsi="Times New Roman"/>
          <w:sz w:val="24"/>
          <w:szCs w:val="24"/>
        </w:rPr>
        <w:t>;</w:t>
      </w:r>
    </w:p>
    <w:p w:rsidRPr="00517245" w:rsidR="00694342" w:rsidP="4F062333" w:rsidRDefault="00694342" w14:paraId="2FBF5D01" w14:textId="65F3FD4A">
      <w:pPr>
        <w:pStyle w:val="Akapitzlist"/>
        <w:numPr>
          <w:ilvl w:val="0"/>
          <w:numId w:val="63"/>
        </w:numPr>
        <w:spacing w:after="0" w:line="360" w:lineRule="auto"/>
        <w:ind/>
        <w:jc w:val="both"/>
        <w:rPr>
          <w:rFonts w:ascii="Times New Roman" w:hAnsi="Times New Roman" w:eastAsia="Palatino Linotype"/>
          <w:sz w:val="24"/>
          <w:szCs w:val="24"/>
        </w:rPr>
      </w:pPr>
      <w:r w:rsidRPr="4F062333" w:rsidR="000E362B">
        <w:rPr>
          <w:rFonts w:ascii="Times New Roman" w:hAnsi="Times New Roman"/>
          <w:sz w:val="24"/>
          <w:szCs w:val="24"/>
        </w:rPr>
        <w:t>Załącznik nr 2</w:t>
      </w:r>
      <w:r w:rsidRPr="4F062333" w:rsidR="00A43B95">
        <w:rPr>
          <w:rFonts w:ascii="Times New Roman" w:hAnsi="Times New Roman"/>
          <w:sz w:val="24"/>
          <w:szCs w:val="24"/>
        </w:rPr>
        <w:t>. Raport</w:t>
      </w:r>
      <w:r w:rsidRPr="4F062333" w:rsidR="00EB4E76">
        <w:rPr>
          <w:rFonts w:ascii="Times New Roman" w:hAnsi="Times New Roman"/>
          <w:sz w:val="24"/>
          <w:szCs w:val="24"/>
        </w:rPr>
        <w:t xml:space="preserve"> z </w:t>
      </w:r>
      <w:r w:rsidRPr="4F062333" w:rsidR="00A43B95">
        <w:rPr>
          <w:rFonts w:ascii="Times New Roman" w:hAnsi="Times New Roman"/>
          <w:sz w:val="24"/>
          <w:szCs w:val="24"/>
        </w:rPr>
        <w:t>oceny kierunków studiów na Wydziale Nauk Przyrodniczych</w:t>
      </w:r>
      <w:r w:rsidRPr="4F062333" w:rsidR="00EB4E76">
        <w:rPr>
          <w:rFonts w:ascii="Times New Roman" w:hAnsi="Times New Roman"/>
          <w:sz w:val="24"/>
          <w:szCs w:val="24"/>
        </w:rPr>
        <w:t xml:space="preserve"> w </w:t>
      </w:r>
      <w:r w:rsidRPr="4F062333" w:rsidR="00A43B95">
        <w:rPr>
          <w:rFonts w:ascii="Times New Roman" w:hAnsi="Times New Roman"/>
          <w:sz w:val="24"/>
          <w:szCs w:val="24"/>
        </w:rPr>
        <w:t>zakresie jakości kształcenia</w:t>
      </w:r>
      <w:r w:rsidRPr="4F062333" w:rsidR="00EB4E76">
        <w:rPr>
          <w:rFonts w:ascii="Times New Roman" w:hAnsi="Times New Roman"/>
          <w:sz w:val="24"/>
          <w:szCs w:val="24"/>
        </w:rPr>
        <w:t xml:space="preserve"> w </w:t>
      </w:r>
      <w:r w:rsidRPr="4F062333" w:rsidR="00A43B95">
        <w:rPr>
          <w:rFonts w:ascii="Times New Roman" w:hAnsi="Times New Roman"/>
          <w:sz w:val="24"/>
          <w:szCs w:val="24"/>
        </w:rPr>
        <w:t xml:space="preserve">roku akademickim </w:t>
      </w:r>
      <w:r w:rsidRPr="4F062333" w:rsidR="00C36727">
        <w:rPr>
          <w:rFonts w:ascii="Times New Roman" w:hAnsi="Times New Roman"/>
          <w:sz w:val="24"/>
          <w:szCs w:val="24"/>
        </w:rPr>
        <w:t>202</w:t>
      </w:r>
      <w:r w:rsidRPr="4F062333" w:rsidR="0E6AA282">
        <w:rPr>
          <w:rFonts w:ascii="Times New Roman" w:hAnsi="Times New Roman"/>
          <w:sz w:val="24"/>
          <w:szCs w:val="24"/>
        </w:rPr>
        <w:t>2</w:t>
      </w:r>
      <w:r w:rsidRPr="4F062333" w:rsidR="00C36727">
        <w:rPr>
          <w:rFonts w:ascii="Times New Roman" w:hAnsi="Times New Roman"/>
          <w:sz w:val="24"/>
          <w:szCs w:val="24"/>
        </w:rPr>
        <w:t>/202</w:t>
      </w:r>
      <w:r w:rsidRPr="4F062333" w:rsidR="67A7E953">
        <w:rPr>
          <w:rFonts w:ascii="Times New Roman" w:hAnsi="Times New Roman"/>
          <w:sz w:val="24"/>
          <w:szCs w:val="24"/>
        </w:rPr>
        <w:t>3</w:t>
      </w:r>
      <w:r w:rsidRPr="4F062333" w:rsidR="00A43B95">
        <w:rPr>
          <w:rFonts w:ascii="Times New Roman" w:hAnsi="Times New Roman"/>
          <w:sz w:val="24"/>
          <w:szCs w:val="24"/>
        </w:rPr>
        <w:t>;</w:t>
      </w:r>
    </w:p>
    <w:p w:rsidRPr="00517245" w:rsidR="00121974" w:rsidP="00517245" w:rsidRDefault="000E362B" w14:paraId="72C307F8" w14:textId="2B8C7F8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Załącznik nr 3</w:t>
      </w:r>
      <w:r w:rsidRPr="00517245" w:rsidR="00A43B95">
        <w:rPr>
          <w:rFonts w:ascii="Times New Roman" w:hAnsi="Times New Roman"/>
          <w:sz w:val="24"/>
          <w:szCs w:val="24"/>
        </w:rPr>
        <w:t>. Raport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 w:rsidR="00A43B95">
        <w:rPr>
          <w:rFonts w:ascii="Times New Roman" w:hAnsi="Times New Roman"/>
          <w:sz w:val="24"/>
          <w:szCs w:val="24"/>
        </w:rPr>
        <w:t>oceny kierunków studiów na Wydziale Nauk Społecznych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>zakresie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 xml:space="preserve">roku akademickim </w:t>
      </w:r>
      <w:r w:rsidRPr="00517245" w:rsidR="00C36727">
        <w:rPr>
          <w:rFonts w:ascii="Times New Roman" w:hAnsi="Times New Roman"/>
          <w:sz w:val="24"/>
          <w:szCs w:val="24"/>
        </w:rPr>
        <w:t>202</w:t>
      </w:r>
      <w:r w:rsidRPr="00517245" w:rsidR="31E01479">
        <w:rPr>
          <w:rFonts w:ascii="Times New Roman" w:hAnsi="Times New Roman"/>
          <w:sz w:val="24"/>
          <w:szCs w:val="24"/>
        </w:rPr>
        <w:t>2</w:t>
      </w:r>
      <w:r w:rsidRPr="00517245" w:rsidR="00C36727">
        <w:rPr>
          <w:rFonts w:ascii="Times New Roman" w:hAnsi="Times New Roman"/>
          <w:sz w:val="24"/>
          <w:szCs w:val="24"/>
        </w:rPr>
        <w:t>/202</w:t>
      </w:r>
      <w:r w:rsidRPr="00517245" w:rsidR="56EA52E3">
        <w:rPr>
          <w:rFonts w:ascii="Times New Roman" w:hAnsi="Times New Roman"/>
          <w:sz w:val="24"/>
          <w:szCs w:val="24"/>
        </w:rPr>
        <w:t>3</w:t>
      </w:r>
      <w:r w:rsidRPr="00517245" w:rsidR="00A43B95">
        <w:rPr>
          <w:rFonts w:ascii="Times New Roman" w:hAnsi="Times New Roman"/>
          <w:sz w:val="24"/>
          <w:szCs w:val="24"/>
        </w:rPr>
        <w:t>;</w:t>
      </w:r>
    </w:p>
    <w:p w:rsidRPr="00517245" w:rsidR="00121974" w:rsidP="00517245" w:rsidRDefault="000E362B" w14:paraId="3F15BCB7" w14:textId="38A8F9F4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Załącznik nr 4</w:t>
      </w:r>
      <w:r w:rsidRPr="00517245" w:rsidR="00A43B95">
        <w:rPr>
          <w:rFonts w:ascii="Times New Roman" w:hAnsi="Times New Roman"/>
          <w:sz w:val="24"/>
          <w:szCs w:val="24"/>
        </w:rPr>
        <w:t>. Raport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 w:rsidR="00A43B95">
        <w:rPr>
          <w:rFonts w:ascii="Times New Roman" w:hAnsi="Times New Roman"/>
          <w:sz w:val="24"/>
          <w:szCs w:val="24"/>
        </w:rPr>
        <w:t>oceny kierunków studiów na Wydziale Nauk Ścisłych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 w:rsidR="00A43B95">
        <w:rPr>
          <w:rFonts w:ascii="Times New Roman" w:hAnsi="Times New Roman"/>
          <w:sz w:val="24"/>
          <w:szCs w:val="24"/>
        </w:rPr>
        <w:t>Technicznych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>zakresie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 xml:space="preserve">roku akademickim </w:t>
      </w:r>
      <w:r w:rsidRPr="00517245" w:rsidR="00C36727">
        <w:rPr>
          <w:rFonts w:ascii="Times New Roman" w:hAnsi="Times New Roman"/>
          <w:sz w:val="24"/>
          <w:szCs w:val="24"/>
        </w:rPr>
        <w:t>202</w:t>
      </w:r>
      <w:r w:rsidRPr="00517245" w:rsidR="3F3D5E7D">
        <w:rPr>
          <w:rFonts w:ascii="Times New Roman" w:hAnsi="Times New Roman"/>
          <w:sz w:val="24"/>
          <w:szCs w:val="24"/>
        </w:rPr>
        <w:t>2</w:t>
      </w:r>
      <w:r w:rsidRPr="00517245" w:rsidR="00C36727">
        <w:rPr>
          <w:rFonts w:ascii="Times New Roman" w:hAnsi="Times New Roman"/>
          <w:sz w:val="24"/>
          <w:szCs w:val="24"/>
        </w:rPr>
        <w:t>/202</w:t>
      </w:r>
      <w:r w:rsidRPr="00517245" w:rsidR="414EDAFD">
        <w:rPr>
          <w:rFonts w:ascii="Times New Roman" w:hAnsi="Times New Roman"/>
          <w:sz w:val="24"/>
          <w:szCs w:val="24"/>
        </w:rPr>
        <w:t>3</w:t>
      </w:r>
      <w:r w:rsidRPr="00517245" w:rsidR="00A43B95">
        <w:rPr>
          <w:rFonts w:ascii="Times New Roman" w:hAnsi="Times New Roman"/>
          <w:sz w:val="24"/>
          <w:szCs w:val="24"/>
        </w:rPr>
        <w:t>;</w:t>
      </w:r>
    </w:p>
    <w:p w:rsidRPr="00517245" w:rsidR="00121974" w:rsidP="00517245" w:rsidRDefault="000E362B" w14:paraId="3FF589A1" w14:textId="7B6EAC28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Załącznik nr 5</w:t>
      </w:r>
      <w:r w:rsidRPr="00517245" w:rsidR="00A43B95">
        <w:rPr>
          <w:rFonts w:ascii="Times New Roman" w:hAnsi="Times New Roman"/>
          <w:sz w:val="24"/>
          <w:szCs w:val="24"/>
        </w:rPr>
        <w:t>. Raport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 w:rsidR="00A43B95">
        <w:rPr>
          <w:rFonts w:ascii="Times New Roman" w:hAnsi="Times New Roman"/>
          <w:sz w:val="24"/>
          <w:szCs w:val="24"/>
        </w:rPr>
        <w:t>oceny kierunków studiów na Wydziale Prawa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 w:rsidR="00A43B95">
        <w:rPr>
          <w:rFonts w:ascii="Times New Roman" w:hAnsi="Times New Roman"/>
          <w:sz w:val="24"/>
          <w:szCs w:val="24"/>
        </w:rPr>
        <w:t>Administracji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>zakresie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 xml:space="preserve">roku akademickim </w:t>
      </w:r>
      <w:r w:rsidRPr="00517245" w:rsidR="00C36727">
        <w:rPr>
          <w:rFonts w:ascii="Times New Roman" w:hAnsi="Times New Roman"/>
          <w:sz w:val="24"/>
          <w:szCs w:val="24"/>
        </w:rPr>
        <w:t>202</w:t>
      </w:r>
      <w:r w:rsidRPr="00517245" w:rsidR="566A53AE">
        <w:rPr>
          <w:rFonts w:ascii="Times New Roman" w:hAnsi="Times New Roman"/>
          <w:sz w:val="24"/>
          <w:szCs w:val="24"/>
        </w:rPr>
        <w:t>2</w:t>
      </w:r>
      <w:r w:rsidRPr="00517245" w:rsidR="00C36727">
        <w:rPr>
          <w:rFonts w:ascii="Times New Roman" w:hAnsi="Times New Roman"/>
          <w:sz w:val="24"/>
          <w:szCs w:val="24"/>
        </w:rPr>
        <w:t>/202</w:t>
      </w:r>
      <w:r w:rsidRPr="00517245" w:rsidR="4502ABCF">
        <w:rPr>
          <w:rFonts w:ascii="Times New Roman" w:hAnsi="Times New Roman"/>
          <w:sz w:val="24"/>
          <w:szCs w:val="24"/>
        </w:rPr>
        <w:t>3</w:t>
      </w:r>
      <w:r w:rsidRPr="00517245" w:rsidR="00A43B95">
        <w:rPr>
          <w:rFonts w:ascii="Times New Roman" w:hAnsi="Times New Roman"/>
          <w:sz w:val="24"/>
          <w:szCs w:val="24"/>
        </w:rPr>
        <w:t>;</w:t>
      </w:r>
    </w:p>
    <w:p w:rsidRPr="00517245" w:rsidR="00121974" w:rsidP="00517245" w:rsidRDefault="000E362B" w14:paraId="49ADB476" w14:textId="5AB852B7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Załącznik nr 6</w:t>
      </w:r>
      <w:r w:rsidRPr="00517245" w:rsidR="00A43B95">
        <w:rPr>
          <w:rFonts w:ascii="Times New Roman" w:hAnsi="Times New Roman"/>
          <w:sz w:val="24"/>
          <w:szCs w:val="24"/>
        </w:rPr>
        <w:t>. Raport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 w:rsidR="00A43B95">
        <w:rPr>
          <w:rFonts w:ascii="Times New Roman" w:hAnsi="Times New Roman"/>
          <w:sz w:val="24"/>
          <w:szCs w:val="24"/>
        </w:rPr>
        <w:t>oceny kierunków studiów na Wydziale Sztuki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 w:rsidR="00A43B95">
        <w:rPr>
          <w:rFonts w:ascii="Times New Roman" w:hAnsi="Times New Roman"/>
          <w:sz w:val="24"/>
          <w:szCs w:val="24"/>
        </w:rPr>
        <w:t>Nauk o Edukacji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>zakresie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 xml:space="preserve">roku akademickim </w:t>
      </w:r>
      <w:r w:rsidRPr="00517245" w:rsidR="00C36727">
        <w:rPr>
          <w:rFonts w:ascii="Times New Roman" w:hAnsi="Times New Roman"/>
          <w:sz w:val="24"/>
          <w:szCs w:val="24"/>
        </w:rPr>
        <w:t>202</w:t>
      </w:r>
      <w:r w:rsidRPr="00517245" w:rsidR="21696A11">
        <w:rPr>
          <w:rFonts w:ascii="Times New Roman" w:hAnsi="Times New Roman"/>
          <w:sz w:val="24"/>
          <w:szCs w:val="24"/>
        </w:rPr>
        <w:t>2</w:t>
      </w:r>
      <w:r w:rsidRPr="00517245" w:rsidR="00C36727">
        <w:rPr>
          <w:rFonts w:ascii="Times New Roman" w:hAnsi="Times New Roman"/>
          <w:sz w:val="24"/>
          <w:szCs w:val="24"/>
        </w:rPr>
        <w:t>/202</w:t>
      </w:r>
      <w:r w:rsidRPr="00517245" w:rsidR="4D4DD0A7">
        <w:rPr>
          <w:rFonts w:ascii="Times New Roman" w:hAnsi="Times New Roman"/>
          <w:sz w:val="24"/>
          <w:szCs w:val="24"/>
        </w:rPr>
        <w:t>3</w:t>
      </w:r>
      <w:r w:rsidRPr="00517245" w:rsidR="00A43B95">
        <w:rPr>
          <w:rFonts w:ascii="Times New Roman" w:hAnsi="Times New Roman"/>
          <w:sz w:val="24"/>
          <w:szCs w:val="24"/>
        </w:rPr>
        <w:t>;</w:t>
      </w:r>
    </w:p>
    <w:p w:rsidRPr="00517245" w:rsidR="00121974" w:rsidP="00517245" w:rsidRDefault="000E362B" w14:paraId="27F0FDF1" w14:textId="7B84E30F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Załącznik nr 7</w:t>
      </w:r>
      <w:r w:rsidRPr="00517245" w:rsidR="00A43B95">
        <w:rPr>
          <w:rFonts w:ascii="Times New Roman" w:hAnsi="Times New Roman"/>
          <w:sz w:val="24"/>
          <w:szCs w:val="24"/>
        </w:rPr>
        <w:t>. Raport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 w:rsidR="00A43B95">
        <w:rPr>
          <w:rFonts w:ascii="Times New Roman" w:hAnsi="Times New Roman"/>
          <w:sz w:val="24"/>
          <w:szCs w:val="24"/>
        </w:rPr>
        <w:t>oceny kierunków studiów na Wydziale Teologicznym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>zakresie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 xml:space="preserve">roku akademickim </w:t>
      </w:r>
      <w:r w:rsidRPr="00517245" w:rsidR="00C36727">
        <w:rPr>
          <w:rFonts w:ascii="Times New Roman" w:hAnsi="Times New Roman"/>
          <w:sz w:val="24"/>
          <w:szCs w:val="24"/>
        </w:rPr>
        <w:t>202</w:t>
      </w:r>
      <w:r w:rsidRPr="00517245" w:rsidR="0CD26AFB">
        <w:rPr>
          <w:rFonts w:ascii="Times New Roman" w:hAnsi="Times New Roman"/>
          <w:sz w:val="24"/>
          <w:szCs w:val="24"/>
        </w:rPr>
        <w:t>2</w:t>
      </w:r>
      <w:r w:rsidRPr="00517245" w:rsidR="00C36727">
        <w:rPr>
          <w:rFonts w:ascii="Times New Roman" w:hAnsi="Times New Roman"/>
          <w:sz w:val="24"/>
          <w:szCs w:val="24"/>
        </w:rPr>
        <w:t>/202</w:t>
      </w:r>
      <w:r w:rsidRPr="00517245" w:rsidR="1CD99FF1">
        <w:rPr>
          <w:rFonts w:ascii="Times New Roman" w:hAnsi="Times New Roman"/>
          <w:sz w:val="24"/>
          <w:szCs w:val="24"/>
        </w:rPr>
        <w:t>3</w:t>
      </w:r>
      <w:r w:rsidRPr="00517245" w:rsidR="00A43B95">
        <w:rPr>
          <w:rFonts w:ascii="Times New Roman" w:hAnsi="Times New Roman"/>
          <w:sz w:val="24"/>
          <w:szCs w:val="24"/>
        </w:rPr>
        <w:t>;</w:t>
      </w:r>
    </w:p>
    <w:p w:rsidRPr="00517245" w:rsidR="00121974" w:rsidP="00517245" w:rsidRDefault="000E362B" w14:paraId="634ACFAE" w14:textId="79E69BC5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Załącznik nr 8</w:t>
      </w:r>
      <w:r w:rsidRPr="00517245" w:rsidR="00A43B95">
        <w:rPr>
          <w:rFonts w:ascii="Times New Roman" w:hAnsi="Times New Roman"/>
          <w:sz w:val="24"/>
          <w:szCs w:val="24"/>
        </w:rPr>
        <w:t>. Raport</w:t>
      </w:r>
      <w:r w:rsidRPr="00517245" w:rsidR="00EB4E76">
        <w:rPr>
          <w:rFonts w:ascii="Times New Roman" w:hAnsi="Times New Roman"/>
          <w:sz w:val="24"/>
          <w:szCs w:val="24"/>
        </w:rPr>
        <w:t xml:space="preserve"> z </w:t>
      </w:r>
      <w:r w:rsidRPr="00517245" w:rsidR="00A43B95">
        <w:rPr>
          <w:rFonts w:ascii="Times New Roman" w:hAnsi="Times New Roman"/>
          <w:sz w:val="24"/>
          <w:szCs w:val="24"/>
        </w:rPr>
        <w:t>oceny kierunków studiów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>Szkole Filmowej im. Krzysztofa Kieślowskiego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>zakresie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w </w:t>
      </w:r>
      <w:r w:rsidRPr="00517245" w:rsidR="00A43B95">
        <w:rPr>
          <w:rFonts w:ascii="Times New Roman" w:hAnsi="Times New Roman"/>
          <w:sz w:val="24"/>
          <w:szCs w:val="24"/>
        </w:rPr>
        <w:t xml:space="preserve">roku akademickim </w:t>
      </w:r>
      <w:r w:rsidRPr="00517245" w:rsidR="00C36727">
        <w:rPr>
          <w:rFonts w:ascii="Times New Roman" w:hAnsi="Times New Roman"/>
          <w:sz w:val="24"/>
          <w:szCs w:val="24"/>
        </w:rPr>
        <w:t>202</w:t>
      </w:r>
      <w:r w:rsidRPr="00517245" w:rsidR="144DC7BB">
        <w:rPr>
          <w:rFonts w:ascii="Times New Roman" w:hAnsi="Times New Roman"/>
          <w:sz w:val="24"/>
          <w:szCs w:val="24"/>
        </w:rPr>
        <w:t>2</w:t>
      </w:r>
      <w:r w:rsidRPr="00517245" w:rsidR="00C36727">
        <w:rPr>
          <w:rFonts w:ascii="Times New Roman" w:hAnsi="Times New Roman"/>
          <w:sz w:val="24"/>
          <w:szCs w:val="24"/>
        </w:rPr>
        <w:t>/202</w:t>
      </w:r>
      <w:r w:rsidRPr="00517245" w:rsidR="27382D9E">
        <w:rPr>
          <w:rFonts w:ascii="Times New Roman" w:hAnsi="Times New Roman"/>
          <w:sz w:val="24"/>
          <w:szCs w:val="24"/>
        </w:rPr>
        <w:t>3</w:t>
      </w:r>
      <w:r w:rsidRPr="00517245" w:rsidR="00A43B95">
        <w:rPr>
          <w:rFonts w:ascii="Times New Roman" w:hAnsi="Times New Roman"/>
          <w:sz w:val="24"/>
          <w:szCs w:val="24"/>
        </w:rPr>
        <w:t>.</w:t>
      </w:r>
    </w:p>
    <w:p w:rsidRPr="0011155D" w:rsidR="003647FB" w:rsidP="0011155D" w:rsidRDefault="003647FB" w14:paraId="0B09AAB7" w14:textId="77777777">
      <w:pPr>
        <w:pStyle w:val="Akapitzlist"/>
        <w:spacing w:after="0" w:line="360" w:lineRule="auto"/>
        <w:ind w:left="0"/>
        <w:jc w:val="both"/>
        <w:rPr>
          <w:rFonts w:ascii="Times New Roman" w:hAnsi="Times New Roman" w:eastAsia="Palatino Linotype"/>
          <w:sz w:val="24"/>
          <w:szCs w:val="24"/>
        </w:rPr>
      </w:pPr>
    </w:p>
    <w:p w:rsidRPr="0011155D" w:rsidR="003647FB" w:rsidP="0011155D" w:rsidRDefault="003647FB" w14:paraId="308640AD" w14:textId="7CCDDD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5D">
        <w:rPr>
          <w:rFonts w:ascii="Times New Roman" w:hAnsi="Times New Roman" w:cs="Times New Roman"/>
          <w:b/>
          <w:sz w:val="24"/>
          <w:szCs w:val="24"/>
        </w:rPr>
        <w:t>Zespół odpo</w:t>
      </w:r>
      <w:r w:rsidRPr="0011155D" w:rsidR="00D51F56">
        <w:rPr>
          <w:rFonts w:ascii="Times New Roman" w:hAnsi="Times New Roman" w:cs="Times New Roman"/>
          <w:b/>
          <w:sz w:val="24"/>
          <w:szCs w:val="24"/>
        </w:rPr>
        <w:t>wiedzialny za powstanie raportu:</w:t>
      </w:r>
    </w:p>
    <w:p w:rsidRPr="00517245" w:rsidR="00D51F56" w:rsidP="00517245" w:rsidRDefault="00D51F56" w14:paraId="00C6CB7A" w14:textId="41ED695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członkowie Zespołu ds. jakości kształcenia</w:t>
      </w:r>
      <w:r w:rsidRPr="00517245" w:rsidR="00925319">
        <w:rPr>
          <w:rFonts w:ascii="Times New Roman" w:hAnsi="Times New Roman"/>
          <w:sz w:val="24"/>
          <w:szCs w:val="24"/>
        </w:rPr>
        <w:t xml:space="preserve"> i akredytacji</w:t>
      </w:r>
      <w:r w:rsidRPr="00517245">
        <w:rPr>
          <w:rFonts w:ascii="Times New Roman" w:hAnsi="Times New Roman"/>
          <w:sz w:val="24"/>
          <w:szCs w:val="24"/>
        </w:rPr>
        <w:t>:</w:t>
      </w:r>
    </w:p>
    <w:p w:rsidRPr="00517245" w:rsidR="00D51F56" w:rsidP="00517245" w:rsidRDefault="00D51F56" w14:paraId="25560A50" w14:textId="046DB28C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 xml:space="preserve">dr </w:t>
      </w:r>
      <w:r w:rsidRPr="00517245" w:rsidR="08D04467">
        <w:rPr>
          <w:rFonts w:ascii="Times New Roman" w:hAnsi="Times New Roman"/>
          <w:sz w:val="24"/>
          <w:szCs w:val="24"/>
        </w:rPr>
        <w:t xml:space="preserve">Marzena Będkowska-Obłąk </w:t>
      </w:r>
      <w:r w:rsidRPr="00517245">
        <w:rPr>
          <w:rFonts w:ascii="Times New Roman" w:hAnsi="Times New Roman"/>
          <w:sz w:val="24"/>
          <w:szCs w:val="24"/>
        </w:rPr>
        <w:t>– Pełnomocniczka Rektora ds.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Akredytacji,</w:t>
      </w:r>
    </w:p>
    <w:p w:rsidRPr="00517245" w:rsidR="00D51F56" w:rsidP="00517245" w:rsidRDefault="00D51F56" w14:paraId="6A401D42" w14:textId="1DCA1989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dr Marzena Będkowska-Obłąk, Pełnomocniczka Dziekana Wydziału Humanistycznego ds.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Akredytacji,</w:t>
      </w:r>
    </w:p>
    <w:p w:rsidRPr="00517245" w:rsidR="00D51F56" w:rsidP="00517245" w:rsidRDefault="00D51F56" w14:paraId="3A83EBD6" w14:textId="274C0D2F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 xml:space="preserve">dr hab. Martyna </w:t>
      </w:r>
      <w:proofErr w:type="spellStart"/>
      <w:r w:rsidRPr="00517245">
        <w:rPr>
          <w:rFonts w:ascii="Times New Roman" w:hAnsi="Times New Roman"/>
          <w:sz w:val="24"/>
          <w:szCs w:val="24"/>
        </w:rPr>
        <w:t>Rzętała</w:t>
      </w:r>
      <w:proofErr w:type="spellEnd"/>
      <w:r w:rsidRPr="00517245">
        <w:rPr>
          <w:rFonts w:ascii="Times New Roman" w:hAnsi="Times New Roman"/>
          <w:sz w:val="24"/>
          <w:szCs w:val="24"/>
        </w:rPr>
        <w:t>, prof. UŚ, Pełnomocniczka Dziekana Wydziału Nauk Przyrodniczych ds.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Akredytacji,</w:t>
      </w:r>
    </w:p>
    <w:p w:rsidRPr="00517245" w:rsidR="00D51F56" w:rsidP="00517245" w:rsidRDefault="00D51F56" w14:paraId="4E3B60E4" w14:textId="18406F4E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dr Maciej Janowski, Pełnomocnik Dziekana Wydziału Nauk Społecznych ds.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Akredytacji,</w:t>
      </w:r>
    </w:p>
    <w:p w:rsidRPr="00517245" w:rsidR="00D51F56" w:rsidP="00517245" w:rsidRDefault="00D51F56" w14:paraId="5754512C" w14:textId="02BCAD56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dr Agnieszka Kulawik, Pełnomocniczka Dziekana Wydziału Nauk Ścisłych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Technicznych ds.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Akredytacji,</w:t>
      </w:r>
    </w:p>
    <w:p w:rsidRPr="00517245" w:rsidR="00D51F56" w:rsidP="00517245" w:rsidRDefault="00D51F56" w14:paraId="168CB919" w14:textId="2D70776E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 xml:space="preserve">dr hab. </w:t>
      </w:r>
      <w:r w:rsidRPr="00517245" w:rsidR="44CD2D15">
        <w:rPr>
          <w:rFonts w:ascii="Times New Roman" w:hAnsi="Times New Roman"/>
          <w:sz w:val="24"/>
          <w:szCs w:val="24"/>
        </w:rPr>
        <w:t>Sławomir Tkacz</w:t>
      </w:r>
      <w:r w:rsidRPr="00517245">
        <w:rPr>
          <w:rFonts w:ascii="Times New Roman" w:hAnsi="Times New Roman"/>
          <w:sz w:val="24"/>
          <w:szCs w:val="24"/>
        </w:rPr>
        <w:t>, prof. UŚ, Pełnomocni</w:t>
      </w:r>
      <w:r w:rsidRPr="00517245" w:rsidR="09547689">
        <w:rPr>
          <w:rFonts w:ascii="Times New Roman" w:hAnsi="Times New Roman"/>
          <w:sz w:val="24"/>
          <w:szCs w:val="24"/>
        </w:rPr>
        <w:t>k</w:t>
      </w:r>
      <w:r w:rsidRPr="00517245">
        <w:rPr>
          <w:rFonts w:ascii="Times New Roman" w:hAnsi="Times New Roman"/>
          <w:sz w:val="24"/>
          <w:szCs w:val="24"/>
        </w:rPr>
        <w:t xml:space="preserve"> Dziekana Wydziału Prawa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Administracji ds.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Akredytacji,</w:t>
      </w:r>
    </w:p>
    <w:p w:rsidRPr="00517245" w:rsidR="00D51F56" w:rsidP="00517245" w:rsidRDefault="00D51F56" w14:paraId="05303B8D" w14:textId="3D1FF3CA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dr Anna Trzcionka-Wieczorek, Pełnomocniczka Dziekana Wydziału Sztuki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Nauk o</w:t>
      </w:r>
      <w:r w:rsidR="0029792E">
        <w:rPr>
          <w:rFonts w:ascii="Times New Roman" w:hAnsi="Times New Roman"/>
          <w:sz w:val="24"/>
          <w:szCs w:val="24"/>
        </w:rPr>
        <w:t> </w:t>
      </w:r>
      <w:r w:rsidRPr="00517245">
        <w:rPr>
          <w:rFonts w:ascii="Times New Roman" w:hAnsi="Times New Roman"/>
          <w:sz w:val="24"/>
          <w:szCs w:val="24"/>
        </w:rPr>
        <w:t>Edukacji ds.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Akredytacji,</w:t>
      </w:r>
    </w:p>
    <w:p w:rsidRPr="00517245" w:rsidR="00D51F56" w:rsidP="00517245" w:rsidRDefault="00D51F56" w14:paraId="2EB04334" w14:textId="6D306BAD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lastRenderedPageBreak/>
        <w:t>dr Monika Gwóźdź, Pełnomocniczka Dziekana Wydziału Teologicznego ds.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Akredytacji,</w:t>
      </w:r>
    </w:p>
    <w:p w:rsidRPr="00517245" w:rsidR="00D51F56" w:rsidP="00517245" w:rsidRDefault="00D51F56" w14:paraId="133C6CF1" w14:textId="09BDD60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mgr Ada Grzelewska, Pełnomocniczka Dziekana Szkoły Filmowej im. Krzysztofa Kieślowskiego ds. Jakości Kształcenia</w:t>
      </w:r>
      <w:r w:rsidRPr="00517245" w:rsidR="00EB4E76">
        <w:rPr>
          <w:rFonts w:ascii="Times New Roman" w:hAnsi="Times New Roman"/>
          <w:sz w:val="24"/>
          <w:szCs w:val="24"/>
        </w:rPr>
        <w:t xml:space="preserve"> i </w:t>
      </w:r>
      <w:r w:rsidRPr="00517245">
        <w:rPr>
          <w:rFonts w:ascii="Times New Roman" w:hAnsi="Times New Roman"/>
          <w:sz w:val="24"/>
          <w:szCs w:val="24"/>
        </w:rPr>
        <w:t>Akredytacji,</w:t>
      </w:r>
    </w:p>
    <w:p w:rsidRPr="00517245" w:rsidR="003647FB" w:rsidP="00517245" w:rsidRDefault="00D51F56" w14:paraId="216303E1" w14:textId="34180E94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pracownicy Biura Jakości Kształcenia:</w:t>
      </w:r>
    </w:p>
    <w:p w:rsidRPr="00517245" w:rsidR="00D51F56" w:rsidP="00517245" w:rsidRDefault="00D51F56" w14:paraId="5C67A08E" w14:textId="2477343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mgr Ewa Lipska,</w:t>
      </w:r>
    </w:p>
    <w:p w:rsidRPr="00517245" w:rsidR="00814361" w:rsidP="00517245" w:rsidRDefault="00814361" w14:paraId="0A58674A" w14:textId="4BEF33C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mgr Jakub Dziewit</w:t>
      </w:r>
      <w:r w:rsidR="0029792E">
        <w:rPr>
          <w:rFonts w:ascii="Times New Roman" w:hAnsi="Times New Roman"/>
          <w:sz w:val="24"/>
          <w:szCs w:val="24"/>
        </w:rPr>
        <w:t>,</w:t>
      </w:r>
    </w:p>
    <w:p w:rsidRPr="00517245" w:rsidR="00D51F56" w:rsidP="00517245" w:rsidRDefault="00D51F56" w14:paraId="45390BA8" w14:textId="0C1B1526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mgr Przemysław Grzonka,</w:t>
      </w:r>
    </w:p>
    <w:p w:rsidRPr="00517245" w:rsidR="00D51F56" w:rsidP="00517245" w:rsidRDefault="00D51F56" w14:paraId="0A988ACE" w14:textId="06070D41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eastAsia="Palatino Linotype"/>
          <w:sz w:val="24"/>
          <w:szCs w:val="24"/>
        </w:rPr>
      </w:pPr>
      <w:r w:rsidRPr="00517245">
        <w:rPr>
          <w:rFonts w:ascii="Times New Roman" w:hAnsi="Times New Roman"/>
          <w:sz w:val="24"/>
          <w:szCs w:val="24"/>
        </w:rPr>
        <w:t>mgr Karol Sikora.</w:t>
      </w:r>
    </w:p>
    <w:sectPr w:rsidRPr="00517245" w:rsidR="00D51F56" w:rsidSect="002F1566">
      <w:headerReference w:type="default" r:id="rId21"/>
      <w:footerReference w:type="default" r:id="rId22"/>
      <w:pgSz w:w="11906" w:h="16838" w:orient="portrait"/>
      <w:pgMar w:top="1417" w:right="1417" w:bottom="1417" w:left="141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566" w:rsidRDefault="002F1566" w14:paraId="01A85DAC" w14:textId="77777777">
      <w:pPr>
        <w:spacing w:after="0" w:line="240" w:lineRule="auto"/>
      </w:pPr>
      <w:r>
        <w:separator/>
      </w:r>
    </w:p>
  </w:endnote>
  <w:endnote w:type="continuationSeparator" w:id="0">
    <w:p w:rsidR="002F1566" w:rsidRDefault="002F1566" w14:paraId="2CA236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B4E76" w:rsidRDefault="00EB4E76" w14:paraId="6078FE47" w14:textId="77777777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EB4E76" w:rsidRDefault="00EB4E76" w14:paraId="1CBFD851" w14:textId="29B61F5F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1EA282B4" wp14:editId="5B7CECB6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1"/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6291DA3B" wp14:editId="106DFAA7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/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>Uniwersytet Śląski w Katowicach</w:t>
    </w:r>
  </w:p>
  <w:p w:rsidR="00EB4E76" w:rsidRDefault="00EB4E76" w14:paraId="06DA4BD5" w14:textId="233162F3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 Analiz Strategicznych / Biuro Jakości Kształcenia</w:t>
    </w:r>
  </w:p>
  <w:p w:rsidR="00EB4E76" w:rsidRDefault="00EB4E76" w14:paraId="7F9BEAE3" w14:textId="35864036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Bankowa 12, p. 0.34, 40-007 Katowice</w:t>
    </w:r>
  </w:p>
  <w:p w:rsidR="00EB4E76" w:rsidRDefault="00EB4E76" w14:paraId="1B8F15BB" w14:textId="7777777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EB4E76" w:rsidRDefault="00EB4E76" w14:paraId="5B4165CC" w14:textId="7777777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EB4E76" w:rsidRDefault="00EB4E76" w14:paraId="76EB2C28" w14:textId="77777777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</w:rPr>
      <w:t>www.</w:t>
    </w:r>
    <w:r>
      <w:rPr>
        <w:rFonts w:ascii="PT Sans" w:hAnsi="PT Sans"/>
        <w:b/>
        <w:bCs/>
        <w:color w:val="002D59"/>
        <w:sz w:val="18"/>
        <w:szCs w:val="18"/>
      </w:rPr>
      <w:t>us.</w:t>
    </w:r>
    <w:r>
      <w:rPr>
        <w:rFonts w:ascii="PT Sans" w:hAnsi="PT Sans"/>
        <w:color w:val="002D59"/>
        <w:sz w:val="18"/>
        <w:szCs w:val="18"/>
      </w:rPr>
      <w:t>edu.pl</w:t>
    </w:r>
  </w:p>
  <w:p w:rsidR="00EB4E76" w:rsidRDefault="00EB4E76" w14:paraId="3709EDB2" w14:textId="77777777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566" w:rsidRDefault="002F1566" w14:paraId="15637C1E" w14:textId="77777777">
      <w:pPr>
        <w:spacing w:after="0" w:line="240" w:lineRule="auto"/>
      </w:pPr>
      <w:r>
        <w:separator/>
      </w:r>
    </w:p>
  </w:footnote>
  <w:footnote w:type="continuationSeparator" w:id="0">
    <w:p w:rsidR="002F1566" w:rsidRDefault="002F1566" w14:paraId="42A7B5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513B17" w:rsidR="00EB4E76" w:rsidP="00513B17" w:rsidRDefault="00EB4E76" w14:paraId="4A6658FE" w14:textId="15F5BCC0">
    <w:pPr>
      <w:pStyle w:val="Nagwek"/>
      <w:tabs>
        <w:tab w:val="clear" w:pos="4536"/>
        <w:tab w:val="clear" w:pos="9072"/>
        <w:tab w:val="left" w:pos="1650"/>
      </w:tabs>
      <w:jc w:val="right"/>
      <w:rPr>
        <w:rFonts w:ascii="PT Sans" w:hAnsi="PT Sans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E9DE7E1" wp14:editId="6AD594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rcRect b="88949"/>
                  <a:stretch/>
                </pic:blipFill>
                <pic:spPr bwMode="auto">
                  <a:xfrm>
                    <a:off x="0" y="0"/>
                    <a:ext cx="7559675" cy="118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B4E76" w:rsidRDefault="00EB4E76" w14:paraId="193FF2E3" w14:textId="77777777">
    <w:pPr>
      <w:pStyle w:val="Nagwek"/>
      <w:tabs>
        <w:tab w:val="clear" w:pos="4536"/>
        <w:tab w:val="clear" w:pos="9072"/>
        <w:tab w:val="left" w:pos="1650"/>
      </w:tabs>
    </w:pPr>
  </w:p>
  <w:p w:rsidR="00EB4E76" w:rsidRDefault="00EB4E76" w14:paraId="6E340FFA" w14:textId="77777777">
    <w:pPr>
      <w:pStyle w:val="Nagwek"/>
      <w:tabs>
        <w:tab w:val="clear" w:pos="4536"/>
        <w:tab w:val="clear" w:pos="9072"/>
        <w:tab w:val="left" w:pos="1650"/>
      </w:tabs>
    </w:pPr>
  </w:p>
  <w:p w:rsidR="00EB4E76" w:rsidRDefault="00EB4E76" w14:paraId="4555B7BF" w14:textId="77777777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0">
    <w:nsid w:val="6f3d6f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4131b7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6e6cf5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A1B21"/>
    <w:multiLevelType w:val="hybridMultilevel"/>
    <w:tmpl w:val="9CBE9F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F95BAB"/>
    <w:multiLevelType w:val="hybridMultilevel"/>
    <w:tmpl w:val="25D856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D6680A"/>
    <w:multiLevelType w:val="hybridMultilevel"/>
    <w:tmpl w:val="4C26D9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44A95"/>
    <w:multiLevelType w:val="hybridMultilevel"/>
    <w:tmpl w:val="767A87BC"/>
    <w:lvl w:ilvl="0" w:tplc="0415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sz w:val="32"/>
        <w:szCs w:val="32"/>
      </w:rPr>
    </w:lvl>
    <w:lvl w:ilvl="1" w:tplc="F9BC3B28">
      <w:start w:val="1"/>
      <w:numFmt w:val="bullet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F1B3FC9"/>
    <w:multiLevelType w:val="hybridMultilevel"/>
    <w:tmpl w:val="06BA57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2A028E"/>
    <w:multiLevelType w:val="hybridMultilevel"/>
    <w:tmpl w:val="7BD87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F08B4"/>
    <w:multiLevelType w:val="hybridMultilevel"/>
    <w:tmpl w:val="498254E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899500F"/>
    <w:multiLevelType w:val="hybridMultilevel"/>
    <w:tmpl w:val="D2C42CE2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BEC629E"/>
    <w:multiLevelType w:val="hybridMultilevel"/>
    <w:tmpl w:val="48F66424"/>
    <w:lvl w:ilvl="0" w:tplc="F9BC3B28">
      <w:start w:val="1"/>
      <w:numFmt w:val="bullet"/>
      <w:lvlText w:val="–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C203C5A"/>
    <w:multiLevelType w:val="hybridMultilevel"/>
    <w:tmpl w:val="65ACEEDE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D8944C8"/>
    <w:multiLevelType w:val="hybridMultilevel"/>
    <w:tmpl w:val="578C241C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9BC3B28">
      <w:start w:val="1"/>
      <w:numFmt w:val="bullet"/>
      <w:lvlText w:val="–"/>
      <w:lvlJc w:val="left"/>
      <w:pPr>
        <w:ind w:left="1800" w:hanging="360"/>
      </w:pPr>
      <w:rPr>
        <w:rFonts w:hint="default" w:ascii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2705DAD"/>
    <w:multiLevelType w:val="hybridMultilevel"/>
    <w:tmpl w:val="2EB65DE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32"/>
        <w:szCs w:val="32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404767F"/>
    <w:multiLevelType w:val="hybridMultilevel"/>
    <w:tmpl w:val="757C88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9315A4"/>
    <w:multiLevelType w:val="hybridMultilevel"/>
    <w:tmpl w:val="CA9EC87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5A72AD"/>
    <w:multiLevelType w:val="hybridMultilevel"/>
    <w:tmpl w:val="4BC8AF36"/>
    <w:lvl w:ilvl="0" w:tplc="F9BC3B28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F9BC3B28">
      <w:start w:val="1"/>
      <w:numFmt w:val="bullet"/>
      <w:lvlText w:val="–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9A6C63"/>
    <w:multiLevelType w:val="hybridMultilevel"/>
    <w:tmpl w:val="1FEAA9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A729BA6"/>
    <w:multiLevelType w:val="hybridMultilevel"/>
    <w:tmpl w:val="5A32C6D2"/>
    <w:lvl w:ilvl="0" w:tplc="0C4AD0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DB044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7631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BA6B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1681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48A9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8E8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4CA0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4418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9A6A2F"/>
    <w:multiLevelType w:val="hybridMultilevel"/>
    <w:tmpl w:val="CFFCA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0457"/>
    <w:multiLevelType w:val="hybridMultilevel"/>
    <w:tmpl w:val="E256929E"/>
    <w:lvl w:ilvl="0" w:tplc="21F28416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E64237E0">
      <w:start w:val="1"/>
      <w:numFmt w:val="bullet"/>
      <w:lvlText w:val=""/>
      <w:lvlJc w:val="left"/>
      <w:pPr>
        <w:ind w:left="1788" w:hanging="360"/>
      </w:pPr>
      <w:rPr>
        <w:rFonts w:hint="default" w:ascii="Symbol" w:hAnsi="Symbol"/>
      </w:rPr>
    </w:lvl>
    <w:lvl w:ilvl="2" w:tplc="FD068BA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E0AE01AA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192CF0EC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1AC09B1A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B430046A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B12A1E7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4AD411D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30F1478F"/>
    <w:multiLevelType w:val="hybridMultilevel"/>
    <w:tmpl w:val="43824A52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3D38A0"/>
    <w:multiLevelType w:val="hybridMultilevel"/>
    <w:tmpl w:val="F872D44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500636"/>
    <w:multiLevelType w:val="hybridMultilevel"/>
    <w:tmpl w:val="6B2E5ACE"/>
    <w:lvl w:ilvl="0" w:tplc="09F431F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01A4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A81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92A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D65B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B421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D805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460D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E16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100235"/>
    <w:multiLevelType w:val="hybridMultilevel"/>
    <w:tmpl w:val="E040754C"/>
    <w:lvl w:ilvl="0" w:tplc="0415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42D5123"/>
    <w:multiLevelType w:val="hybridMultilevel"/>
    <w:tmpl w:val="DF0C4FEC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DE339"/>
    <w:multiLevelType w:val="hybridMultilevel"/>
    <w:tmpl w:val="5B2AC272"/>
    <w:lvl w:ilvl="0" w:tplc="2FBA6B3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62E55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9E3B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8EFC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8488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B4B9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C4B6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E2A7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AE3F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AD82FBB"/>
    <w:multiLevelType w:val="hybridMultilevel"/>
    <w:tmpl w:val="B9F438C6"/>
    <w:lvl w:ilvl="0" w:tplc="27FC6A9C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3B2E0821"/>
    <w:multiLevelType w:val="hybridMultilevel"/>
    <w:tmpl w:val="1EEA61B6"/>
    <w:lvl w:ilvl="0" w:tplc="27FC6A9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B9C0B33"/>
    <w:multiLevelType w:val="hybridMultilevel"/>
    <w:tmpl w:val="8520C072"/>
    <w:lvl w:ilvl="0" w:tplc="62C0D256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C1FC7C88">
      <w:start w:val="1"/>
      <w:numFmt w:val="lowerLetter"/>
      <w:lvlText w:val="%2."/>
      <w:lvlJc w:val="left"/>
      <w:pPr>
        <w:ind w:left="1788" w:hanging="360"/>
      </w:pPr>
    </w:lvl>
    <w:lvl w:ilvl="2" w:tplc="DC2CFDD6">
      <w:start w:val="1"/>
      <w:numFmt w:val="lowerRoman"/>
      <w:lvlText w:val="%3."/>
      <w:lvlJc w:val="right"/>
      <w:pPr>
        <w:ind w:left="2508" w:hanging="180"/>
      </w:pPr>
    </w:lvl>
    <w:lvl w:ilvl="3" w:tplc="961426C6">
      <w:start w:val="1"/>
      <w:numFmt w:val="decimal"/>
      <w:lvlText w:val="%4."/>
      <w:lvlJc w:val="left"/>
      <w:pPr>
        <w:ind w:left="3228" w:hanging="360"/>
      </w:pPr>
    </w:lvl>
    <w:lvl w:ilvl="4" w:tplc="0218A4BE">
      <w:start w:val="1"/>
      <w:numFmt w:val="lowerLetter"/>
      <w:lvlText w:val="%5."/>
      <w:lvlJc w:val="left"/>
      <w:pPr>
        <w:ind w:left="3948" w:hanging="360"/>
      </w:pPr>
    </w:lvl>
    <w:lvl w:ilvl="5" w:tplc="7D0839CC">
      <w:start w:val="1"/>
      <w:numFmt w:val="lowerRoman"/>
      <w:lvlText w:val="%6."/>
      <w:lvlJc w:val="right"/>
      <w:pPr>
        <w:ind w:left="4668" w:hanging="180"/>
      </w:pPr>
    </w:lvl>
    <w:lvl w:ilvl="6" w:tplc="ACD02FB0">
      <w:start w:val="1"/>
      <w:numFmt w:val="decimal"/>
      <w:lvlText w:val="%7."/>
      <w:lvlJc w:val="left"/>
      <w:pPr>
        <w:ind w:left="5388" w:hanging="360"/>
      </w:pPr>
    </w:lvl>
    <w:lvl w:ilvl="7" w:tplc="E4BC9028">
      <w:start w:val="1"/>
      <w:numFmt w:val="lowerLetter"/>
      <w:lvlText w:val="%8."/>
      <w:lvlJc w:val="left"/>
      <w:pPr>
        <w:ind w:left="6108" w:hanging="360"/>
      </w:pPr>
    </w:lvl>
    <w:lvl w:ilvl="8" w:tplc="F8BAC0A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E550838"/>
    <w:multiLevelType w:val="hybridMultilevel"/>
    <w:tmpl w:val="CCF8BE6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137CC"/>
    <w:multiLevelType w:val="hybridMultilevel"/>
    <w:tmpl w:val="02AE4560"/>
    <w:lvl w:ilvl="0" w:tplc="27FC6A9C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  <w:sz w:val="32"/>
        <w:szCs w:val="32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42EE55C4"/>
    <w:multiLevelType w:val="hybridMultilevel"/>
    <w:tmpl w:val="0A7ECBD8"/>
    <w:lvl w:ilvl="0" w:tplc="27FC6A9C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43F19CA6"/>
    <w:multiLevelType w:val="hybridMultilevel"/>
    <w:tmpl w:val="D2B27496"/>
    <w:lvl w:ilvl="0" w:tplc="27FC6A9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9DE5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38CC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7E17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BAED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484F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2623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4C5B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B6A7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5B57DA4"/>
    <w:multiLevelType w:val="hybridMultilevel"/>
    <w:tmpl w:val="7DAE0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76EA3"/>
    <w:multiLevelType w:val="hybridMultilevel"/>
    <w:tmpl w:val="4DFC247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6C30A3"/>
    <w:multiLevelType w:val="hybridMultilevel"/>
    <w:tmpl w:val="FD08BFE2"/>
    <w:lvl w:ilvl="0" w:tplc="99DC0910">
      <w:start w:val="1"/>
      <w:numFmt w:val="lowerLetter"/>
      <w:lvlText w:val="%1."/>
      <w:lvlJc w:val="left"/>
      <w:pPr>
        <w:ind w:left="1068" w:hanging="360"/>
      </w:pPr>
      <w:rPr>
        <w:rFonts w:hint="default" w:ascii="PT Sans" w:hAnsi="PT Sans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8B179B0"/>
    <w:multiLevelType w:val="hybridMultilevel"/>
    <w:tmpl w:val="A0066F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F406D8"/>
    <w:multiLevelType w:val="hybridMultilevel"/>
    <w:tmpl w:val="8EBEA6A2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4AC0533C"/>
    <w:multiLevelType w:val="hybridMultilevel"/>
    <w:tmpl w:val="129E7EEE"/>
    <w:lvl w:ilvl="0" w:tplc="E27EBD6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D5A85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0242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88E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EA29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10FE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406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2EA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B03C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4C8710B1"/>
    <w:multiLevelType w:val="hybridMultilevel"/>
    <w:tmpl w:val="EA52DB6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114957"/>
    <w:multiLevelType w:val="hybridMultilevel"/>
    <w:tmpl w:val="97369A9C"/>
    <w:lvl w:ilvl="0" w:tplc="F9BC3B28">
      <w:start w:val="1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E1F33E8"/>
    <w:multiLevelType w:val="hybridMultilevel"/>
    <w:tmpl w:val="FD5C7BC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D66C6D"/>
    <w:multiLevelType w:val="hybridMultilevel"/>
    <w:tmpl w:val="04FA3712"/>
    <w:lvl w:ilvl="0" w:tplc="E48442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2E85B96"/>
    <w:multiLevelType w:val="hybridMultilevel"/>
    <w:tmpl w:val="8DB0267C"/>
    <w:lvl w:ilvl="0" w:tplc="27FC6A9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53825686"/>
    <w:multiLevelType w:val="hybridMultilevel"/>
    <w:tmpl w:val="C80CE9AE"/>
    <w:lvl w:ilvl="0" w:tplc="55A616CC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  <w:sz w:val="24"/>
        <w:szCs w:val="24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544530A6"/>
    <w:multiLevelType w:val="hybridMultilevel"/>
    <w:tmpl w:val="D44C1B90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553644B1"/>
    <w:multiLevelType w:val="hybridMultilevel"/>
    <w:tmpl w:val="47CA75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70045E"/>
    <w:multiLevelType w:val="hybridMultilevel"/>
    <w:tmpl w:val="7E54BF42"/>
    <w:lvl w:ilvl="0" w:tplc="04150001">
      <w:start w:val="1"/>
      <w:numFmt w:val="bullet"/>
      <w:lvlText w:val=""/>
      <w:lvlJc w:val="left"/>
      <w:pPr>
        <w:ind w:left="376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448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520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592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664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736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808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880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9522" w:hanging="360"/>
      </w:pPr>
      <w:rPr>
        <w:rFonts w:hint="default" w:ascii="Wingdings" w:hAnsi="Wingdings"/>
      </w:rPr>
    </w:lvl>
  </w:abstractNum>
  <w:abstractNum w:abstractNumId="47" w15:restartNumberingAfterBreak="0">
    <w:nsid w:val="55E85D84"/>
    <w:multiLevelType w:val="hybridMultilevel"/>
    <w:tmpl w:val="E8BE477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9F395F"/>
    <w:multiLevelType w:val="hybridMultilevel"/>
    <w:tmpl w:val="868AC3F4"/>
    <w:lvl w:ilvl="0" w:tplc="27FC6A9C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E6A42FA"/>
    <w:multiLevelType w:val="hybridMultilevel"/>
    <w:tmpl w:val="6520E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11C19"/>
    <w:multiLevelType w:val="hybridMultilevel"/>
    <w:tmpl w:val="C6C6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172A69"/>
    <w:multiLevelType w:val="hybridMultilevel"/>
    <w:tmpl w:val="C89ED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9F6D20"/>
    <w:multiLevelType w:val="hybridMultilevel"/>
    <w:tmpl w:val="54524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A1257B"/>
    <w:multiLevelType w:val="hybridMultilevel"/>
    <w:tmpl w:val="09008426"/>
    <w:lvl w:ilvl="0" w:tplc="04150017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48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520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592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664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736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808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880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9522" w:hanging="360"/>
      </w:pPr>
      <w:rPr>
        <w:rFonts w:hint="default" w:ascii="Wingdings" w:hAnsi="Wingdings"/>
      </w:rPr>
    </w:lvl>
  </w:abstractNum>
  <w:abstractNum w:abstractNumId="54" w15:restartNumberingAfterBreak="0">
    <w:nsid w:val="67ED2DBA"/>
    <w:multiLevelType w:val="hybridMultilevel"/>
    <w:tmpl w:val="5ECE68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93C65C7"/>
    <w:multiLevelType w:val="hybridMultilevel"/>
    <w:tmpl w:val="F00A3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A14274B"/>
    <w:multiLevelType w:val="hybridMultilevel"/>
    <w:tmpl w:val="09D8FC46"/>
    <w:lvl w:ilvl="0" w:tplc="8F729084">
      <w:start w:val="1"/>
      <w:numFmt w:val="lowerLetter"/>
      <w:lvlText w:val="%1."/>
      <w:lvlJc w:val="left"/>
      <w:pPr>
        <w:ind w:left="720" w:hanging="360"/>
      </w:pPr>
    </w:lvl>
    <w:lvl w:ilvl="1" w:tplc="8C60BB18">
      <w:start w:val="1"/>
      <w:numFmt w:val="lowerLetter"/>
      <w:lvlText w:val="%2."/>
      <w:lvlJc w:val="left"/>
      <w:pPr>
        <w:ind w:left="1440" w:hanging="360"/>
      </w:pPr>
    </w:lvl>
    <w:lvl w:ilvl="2" w:tplc="15BACFC8">
      <w:start w:val="1"/>
      <w:numFmt w:val="lowerRoman"/>
      <w:lvlText w:val="%3."/>
      <w:lvlJc w:val="right"/>
      <w:pPr>
        <w:ind w:left="2160" w:hanging="180"/>
      </w:pPr>
    </w:lvl>
    <w:lvl w:ilvl="3" w:tplc="C37620EC">
      <w:start w:val="1"/>
      <w:numFmt w:val="decimal"/>
      <w:lvlText w:val="%4."/>
      <w:lvlJc w:val="left"/>
      <w:pPr>
        <w:ind w:left="2880" w:hanging="360"/>
      </w:pPr>
    </w:lvl>
    <w:lvl w:ilvl="4" w:tplc="7A5ED512">
      <w:start w:val="1"/>
      <w:numFmt w:val="lowerLetter"/>
      <w:lvlText w:val="%5."/>
      <w:lvlJc w:val="left"/>
      <w:pPr>
        <w:ind w:left="3600" w:hanging="360"/>
      </w:pPr>
    </w:lvl>
    <w:lvl w:ilvl="5" w:tplc="CD803106">
      <w:start w:val="1"/>
      <w:numFmt w:val="lowerRoman"/>
      <w:lvlText w:val="%6."/>
      <w:lvlJc w:val="right"/>
      <w:pPr>
        <w:ind w:left="4320" w:hanging="180"/>
      </w:pPr>
    </w:lvl>
    <w:lvl w:ilvl="6" w:tplc="23C22F18">
      <w:start w:val="1"/>
      <w:numFmt w:val="decimal"/>
      <w:lvlText w:val="%7."/>
      <w:lvlJc w:val="left"/>
      <w:pPr>
        <w:ind w:left="5040" w:hanging="360"/>
      </w:pPr>
    </w:lvl>
    <w:lvl w:ilvl="7" w:tplc="0F64BF10">
      <w:start w:val="1"/>
      <w:numFmt w:val="lowerLetter"/>
      <w:lvlText w:val="%8."/>
      <w:lvlJc w:val="left"/>
      <w:pPr>
        <w:ind w:left="5760" w:hanging="360"/>
      </w:pPr>
    </w:lvl>
    <w:lvl w:ilvl="8" w:tplc="597A004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EF4A05"/>
    <w:multiLevelType w:val="hybridMultilevel"/>
    <w:tmpl w:val="C0CCFED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6E4403EA"/>
    <w:multiLevelType w:val="hybridMultilevel"/>
    <w:tmpl w:val="08EA3674"/>
    <w:lvl w:ilvl="0" w:tplc="68B09EA8">
      <w:start w:val="1"/>
      <w:numFmt w:val="lowerLetter"/>
      <w:lvlText w:val="%1."/>
      <w:lvlJc w:val="left"/>
      <w:pPr>
        <w:ind w:left="720" w:hanging="360"/>
      </w:pPr>
      <w:rPr>
        <w:rFonts w:hint="default" w:eastAsia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4D1F08"/>
    <w:multiLevelType w:val="hybridMultilevel"/>
    <w:tmpl w:val="CEF0807A"/>
    <w:lvl w:ilvl="0" w:tplc="F73694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00B32B0"/>
    <w:multiLevelType w:val="hybridMultilevel"/>
    <w:tmpl w:val="970E586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4977FD"/>
    <w:multiLevelType w:val="hybridMultilevel"/>
    <w:tmpl w:val="F0A239AE"/>
    <w:lvl w:ilvl="0" w:tplc="27FC6A9C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73AC5771"/>
    <w:multiLevelType w:val="hybridMultilevel"/>
    <w:tmpl w:val="00C8596E"/>
    <w:lvl w:ilvl="0" w:tplc="652A6A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7AC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C07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86B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985F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0C59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6230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D2A8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E49D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73DECC69"/>
    <w:multiLevelType w:val="hybridMultilevel"/>
    <w:tmpl w:val="A97EE6E8"/>
    <w:lvl w:ilvl="0" w:tplc="D6E6D62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FEEB5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047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3C48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DCD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DA5A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1C22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94C0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ACDA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B7207B2"/>
    <w:multiLevelType w:val="hybridMultilevel"/>
    <w:tmpl w:val="C1AA2916"/>
    <w:lvl w:ilvl="0" w:tplc="27FC6A9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7C33102C"/>
    <w:multiLevelType w:val="hybridMultilevel"/>
    <w:tmpl w:val="4F8E7C0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BC35F2"/>
    <w:multiLevelType w:val="hybridMultilevel"/>
    <w:tmpl w:val="C1F8D2A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F5C3037"/>
    <w:multiLevelType w:val="hybridMultilevel"/>
    <w:tmpl w:val="DC264CE2"/>
    <w:lvl w:ilvl="0" w:tplc="CC7AD8E2">
      <w:start w:val="2"/>
      <w:numFmt w:val="lowerLetter"/>
      <w:lvlText w:val="%1."/>
      <w:lvlJc w:val="left"/>
      <w:pPr>
        <w:ind w:left="720" w:hanging="360"/>
      </w:pPr>
    </w:lvl>
    <w:lvl w:ilvl="1" w:tplc="18A4BAE8">
      <w:start w:val="1"/>
      <w:numFmt w:val="lowerLetter"/>
      <w:lvlText w:val="%2."/>
      <w:lvlJc w:val="left"/>
      <w:pPr>
        <w:ind w:left="1440" w:hanging="360"/>
      </w:pPr>
    </w:lvl>
    <w:lvl w:ilvl="2" w:tplc="05E68F0A">
      <w:start w:val="1"/>
      <w:numFmt w:val="lowerRoman"/>
      <w:lvlText w:val="%3."/>
      <w:lvlJc w:val="right"/>
      <w:pPr>
        <w:ind w:left="2160" w:hanging="180"/>
      </w:pPr>
    </w:lvl>
    <w:lvl w:ilvl="3" w:tplc="F488AE3C">
      <w:start w:val="1"/>
      <w:numFmt w:val="decimal"/>
      <w:lvlText w:val="%4."/>
      <w:lvlJc w:val="left"/>
      <w:pPr>
        <w:ind w:left="2880" w:hanging="360"/>
      </w:pPr>
    </w:lvl>
    <w:lvl w:ilvl="4" w:tplc="C160F1B6">
      <w:start w:val="1"/>
      <w:numFmt w:val="lowerLetter"/>
      <w:lvlText w:val="%5."/>
      <w:lvlJc w:val="left"/>
      <w:pPr>
        <w:ind w:left="3600" w:hanging="360"/>
      </w:pPr>
    </w:lvl>
    <w:lvl w:ilvl="5" w:tplc="93440160">
      <w:start w:val="1"/>
      <w:numFmt w:val="lowerRoman"/>
      <w:lvlText w:val="%6."/>
      <w:lvlJc w:val="right"/>
      <w:pPr>
        <w:ind w:left="4320" w:hanging="180"/>
      </w:pPr>
    </w:lvl>
    <w:lvl w:ilvl="6" w:tplc="120A6138">
      <w:start w:val="1"/>
      <w:numFmt w:val="decimal"/>
      <w:lvlText w:val="%7."/>
      <w:lvlJc w:val="left"/>
      <w:pPr>
        <w:ind w:left="5040" w:hanging="360"/>
      </w:pPr>
    </w:lvl>
    <w:lvl w:ilvl="7" w:tplc="FAAEA180">
      <w:start w:val="1"/>
      <w:numFmt w:val="lowerLetter"/>
      <w:lvlText w:val="%8."/>
      <w:lvlJc w:val="left"/>
      <w:pPr>
        <w:ind w:left="5760" w:hanging="360"/>
      </w:pPr>
    </w:lvl>
    <w:lvl w:ilvl="8" w:tplc="1E6C8D76">
      <w:start w:val="1"/>
      <w:numFmt w:val="lowerRoman"/>
      <w:lvlText w:val="%9."/>
      <w:lvlJc w:val="right"/>
      <w:pPr>
        <w:ind w:left="6480" w:hanging="180"/>
      </w:pPr>
    </w:lvl>
  </w:abstractNum>
  <w:num w:numId="71">
    <w:abstractNumId w:val="70"/>
  </w:num>
  <w:num w:numId="70">
    <w:abstractNumId w:val="69"/>
  </w:num>
  <w:num w:numId="69">
    <w:abstractNumId w:val="68"/>
  </w:num>
  <w:num w:numId="1" w16cid:durableId="861088428">
    <w:abstractNumId w:val="18"/>
  </w:num>
  <w:num w:numId="2" w16cid:durableId="2125494544">
    <w:abstractNumId w:val="21"/>
  </w:num>
  <w:num w:numId="3" w16cid:durableId="531957774">
    <w:abstractNumId w:val="16"/>
  </w:num>
  <w:num w:numId="4" w16cid:durableId="512186406">
    <w:abstractNumId w:val="62"/>
  </w:num>
  <w:num w:numId="5" w16cid:durableId="286090758">
    <w:abstractNumId w:val="67"/>
  </w:num>
  <w:num w:numId="6" w16cid:durableId="1971126975">
    <w:abstractNumId w:val="56"/>
  </w:num>
  <w:num w:numId="7" w16cid:durableId="729232174">
    <w:abstractNumId w:val="31"/>
  </w:num>
  <w:num w:numId="8" w16cid:durableId="1787505892">
    <w:abstractNumId w:val="24"/>
  </w:num>
  <w:num w:numId="9" w16cid:durableId="596718072">
    <w:abstractNumId w:val="63"/>
  </w:num>
  <w:num w:numId="10" w16cid:durableId="598606717">
    <w:abstractNumId w:val="37"/>
  </w:num>
  <w:num w:numId="11" w16cid:durableId="2020110465">
    <w:abstractNumId w:val="27"/>
  </w:num>
  <w:num w:numId="12" w16cid:durableId="2003390571">
    <w:abstractNumId w:val="22"/>
  </w:num>
  <w:num w:numId="13" w16cid:durableId="1627927682">
    <w:abstractNumId w:val="3"/>
  </w:num>
  <w:num w:numId="14" w16cid:durableId="966736612">
    <w:abstractNumId w:val="1"/>
  </w:num>
  <w:num w:numId="15" w16cid:durableId="205801408">
    <w:abstractNumId w:val="36"/>
  </w:num>
  <w:num w:numId="16" w16cid:durableId="1495994443">
    <w:abstractNumId w:val="10"/>
  </w:num>
  <w:num w:numId="17" w16cid:durableId="2052683816">
    <w:abstractNumId w:val="41"/>
  </w:num>
  <w:num w:numId="18" w16cid:durableId="241063019">
    <w:abstractNumId w:val="23"/>
  </w:num>
  <w:num w:numId="19" w16cid:durableId="1207330851">
    <w:abstractNumId w:val="34"/>
  </w:num>
  <w:num w:numId="20" w16cid:durableId="118380299">
    <w:abstractNumId w:val="59"/>
  </w:num>
  <w:num w:numId="21" w16cid:durableId="441345117">
    <w:abstractNumId w:val="0"/>
  </w:num>
  <w:num w:numId="22" w16cid:durableId="1202673059">
    <w:abstractNumId w:val="12"/>
  </w:num>
  <w:num w:numId="23" w16cid:durableId="1378702816">
    <w:abstractNumId w:val="54"/>
  </w:num>
  <w:num w:numId="24" w16cid:durableId="2124111574">
    <w:abstractNumId w:val="50"/>
  </w:num>
  <w:num w:numId="25" w16cid:durableId="26684990">
    <w:abstractNumId w:val="6"/>
  </w:num>
  <w:num w:numId="26" w16cid:durableId="1308557713">
    <w:abstractNumId w:val="46"/>
  </w:num>
  <w:num w:numId="27" w16cid:durableId="238753807">
    <w:abstractNumId w:val="58"/>
  </w:num>
  <w:num w:numId="28" w16cid:durableId="1827278522">
    <w:abstractNumId w:val="57"/>
  </w:num>
  <w:num w:numId="29" w16cid:durableId="595485519">
    <w:abstractNumId w:val="13"/>
  </w:num>
  <w:num w:numId="30" w16cid:durableId="1667514089">
    <w:abstractNumId w:val="20"/>
  </w:num>
  <w:num w:numId="31" w16cid:durableId="905721531">
    <w:abstractNumId w:val="66"/>
  </w:num>
  <w:num w:numId="32" w16cid:durableId="1487699479">
    <w:abstractNumId w:val="65"/>
  </w:num>
  <w:num w:numId="33" w16cid:durableId="1508591214">
    <w:abstractNumId w:val="55"/>
  </w:num>
  <w:num w:numId="34" w16cid:durableId="38020708">
    <w:abstractNumId w:val="45"/>
  </w:num>
  <w:num w:numId="35" w16cid:durableId="1263949244">
    <w:abstractNumId w:val="60"/>
  </w:num>
  <w:num w:numId="36" w16cid:durableId="1847204352">
    <w:abstractNumId w:val="19"/>
  </w:num>
  <w:num w:numId="37" w16cid:durableId="786850591">
    <w:abstractNumId w:val="35"/>
  </w:num>
  <w:num w:numId="38" w16cid:durableId="421418893">
    <w:abstractNumId w:val="2"/>
  </w:num>
  <w:num w:numId="39" w16cid:durableId="803743027">
    <w:abstractNumId w:val="52"/>
  </w:num>
  <w:num w:numId="40" w16cid:durableId="1543831973">
    <w:abstractNumId w:val="32"/>
  </w:num>
  <w:num w:numId="41" w16cid:durableId="960455513">
    <w:abstractNumId w:val="5"/>
  </w:num>
  <w:num w:numId="42" w16cid:durableId="1598250476">
    <w:abstractNumId w:val="47"/>
  </w:num>
  <w:num w:numId="43" w16cid:durableId="1887989175">
    <w:abstractNumId w:val="28"/>
  </w:num>
  <w:num w:numId="44" w16cid:durableId="1704358143">
    <w:abstractNumId w:val="17"/>
  </w:num>
  <w:num w:numId="45" w16cid:durableId="311522902">
    <w:abstractNumId w:val="53"/>
  </w:num>
  <w:num w:numId="46" w16cid:durableId="317850015">
    <w:abstractNumId w:val="44"/>
  </w:num>
  <w:num w:numId="47" w16cid:durableId="738596363">
    <w:abstractNumId w:val="51"/>
  </w:num>
  <w:num w:numId="48" w16cid:durableId="316348550">
    <w:abstractNumId w:val="38"/>
  </w:num>
  <w:num w:numId="49" w16cid:durableId="101001692">
    <w:abstractNumId w:val="11"/>
  </w:num>
  <w:num w:numId="50" w16cid:durableId="164513977">
    <w:abstractNumId w:val="9"/>
  </w:num>
  <w:num w:numId="51" w16cid:durableId="437220232">
    <w:abstractNumId w:val="7"/>
  </w:num>
  <w:num w:numId="52" w16cid:durableId="1220748773">
    <w:abstractNumId w:val="29"/>
  </w:num>
  <w:num w:numId="53" w16cid:durableId="751703111">
    <w:abstractNumId w:val="43"/>
  </w:num>
  <w:num w:numId="54" w16cid:durableId="914902579">
    <w:abstractNumId w:val="48"/>
  </w:num>
  <w:num w:numId="55" w16cid:durableId="925922332">
    <w:abstractNumId w:val="33"/>
  </w:num>
  <w:num w:numId="56" w16cid:durableId="1070418648">
    <w:abstractNumId w:val="64"/>
  </w:num>
  <w:num w:numId="57" w16cid:durableId="715009517">
    <w:abstractNumId w:val="14"/>
  </w:num>
  <w:num w:numId="58" w16cid:durableId="1460997635">
    <w:abstractNumId w:val="39"/>
  </w:num>
  <w:num w:numId="59" w16cid:durableId="2124572941">
    <w:abstractNumId w:val="61"/>
  </w:num>
  <w:num w:numId="60" w16cid:durableId="2108963731">
    <w:abstractNumId w:val="25"/>
  </w:num>
  <w:num w:numId="61" w16cid:durableId="305210156">
    <w:abstractNumId w:val="40"/>
  </w:num>
  <w:num w:numId="62" w16cid:durableId="1345935165">
    <w:abstractNumId w:val="4"/>
  </w:num>
  <w:num w:numId="63" w16cid:durableId="36512116">
    <w:abstractNumId w:val="30"/>
  </w:num>
  <w:num w:numId="64" w16cid:durableId="258224416">
    <w:abstractNumId w:val="42"/>
  </w:num>
  <w:num w:numId="65" w16cid:durableId="888805235">
    <w:abstractNumId w:val="26"/>
  </w:num>
  <w:num w:numId="66" w16cid:durableId="1242249910">
    <w:abstractNumId w:val="8"/>
  </w:num>
  <w:num w:numId="67" w16cid:durableId="169294213">
    <w:abstractNumId w:val="49"/>
  </w:num>
  <w:num w:numId="68" w16cid:durableId="18492956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74"/>
    <w:rsid w:val="00017F6C"/>
    <w:rsid w:val="000515A4"/>
    <w:rsid w:val="00051DE6"/>
    <w:rsid w:val="00054A5C"/>
    <w:rsid w:val="000559BC"/>
    <w:rsid w:val="00065983"/>
    <w:rsid w:val="000A10FE"/>
    <w:rsid w:val="000A46D4"/>
    <w:rsid w:val="000B3BF5"/>
    <w:rsid w:val="000E362B"/>
    <w:rsid w:val="000F4E90"/>
    <w:rsid w:val="000F652D"/>
    <w:rsid w:val="000F78B0"/>
    <w:rsid w:val="00101EB1"/>
    <w:rsid w:val="00102B5A"/>
    <w:rsid w:val="00104492"/>
    <w:rsid w:val="0011155D"/>
    <w:rsid w:val="00121974"/>
    <w:rsid w:val="00123F82"/>
    <w:rsid w:val="00140E2C"/>
    <w:rsid w:val="001755ED"/>
    <w:rsid w:val="001756F8"/>
    <w:rsid w:val="001761FE"/>
    <w:rsid w:val="00184FE1"/>
    <w:rsid w:val="001859DD"/>
    <w:rsid w:val="0019661A"/>
    <w:rsid w:val="001A1C78"/>
    <w:rsid w:val="001B4EDB"/>
    <w:rsid w:val="001D13DE"/>
    <w:rsid w:val="001D1830"/>
    <w:rsid w:val="001E28B5"/>
    <w:rsid w:val="002020D9"/>
    <w:rsid w:val="00217F5A"/>
    <w:rsid w:val="00217FD5"/>
    <w:rsid w:val="002218A5"/>
    <w:rsid w:val="00226E1B"/>
    <w:rsid w:val="0022770B"/>
    <w:rsid w:val="00234A03"/>
    <w:rsid w:val="0024605A"/>
    <w:rsid w:val="00261066"/>
    <w:rsid w:val="002722B4"/>
    <w:rsid w:val="00277C5C"/>
    <w:rsid w:val="002807C1"/>
    <w:rsid w:val="00282AA7"/>
    <w:rsid w:val="00286C8F"/>
    <w:rsid w:val="00290B6F"/>
    <w:rsid w:val="0029792E"/>
    <w:rsid w:val="002A3E0E"/>
    <w:rsid w:val="002B29F2"/>
    <w:rsid w:val="002D15DE"/>
    <w:rsid w:val="002D64F8"/>
    <w:rsid w:val="002F1566"/>
    <w:rsid w:val="002F360F"/>
    <w:rsid w:val="00313F03"/>
    <w:rsid w:val="00327035"/>
    <w:rsid w:val="0033729D"/>
    <w:rsid w:val="0034310D"/>
    <w:rsid w:val="00343D90"/>
    <w:rsid w:val="003561FF"/>
    <w:rsid w:val="00358B25"/>
    <w:rsid w:val="003647FB"/>
    <w:rsid w:val="00376B19"/>
    <w:rsid w:val="0039575B"/>
    <w:rsid w:val="003959AE"/>
    <w:rsid w:val="00397681"/>
    <w:rsid w:val="003A1EAC"/>
    <w:rsid w:val="003A33BC"/>
    <w:rsid w:val="003A70C4"/>
    <w:rsid w:val="003B2991"/>
    <w:rsid w:val="003C215E"/>
    <w:rsid w:val="003D1314"/>
    <w:rsid w:val="003D6227"/>
    <w:rsid w:val="003D7D9F"/>
    <w:rsid w:val="003E6300"/>
    <w:rsid w:val="0040200B"/>
    <w:rsid w:val="00406545"/>
    <w:rsid w:val="00413449"/>
    <w:rsid w:val="00414208"/>
    <w:rsid w:val="00424619"/>
    <w:rsid w:val="00432755"/>
    <w:rsid w:val="00445D13"/>
    <w:rsid w:val="0044738C"/>
    <w:rsid w:val="004533E5"/>
    <w:rsid w:val="00480F44"/>
    <w:rsid w:val="00483624"/>
    <w:rsid w:val="00490A8F"/>
    <w:rsid w:val="004A1EEF"/>
    <w:rsid w:val="004C0087"/>
    <w:rsid w:val="004C02A4"/>
    <w:rsid w:val="004C0EBE"/>
    <w:rsid w:val="004C4166"/>
    <w:rsid w:val="004D46DC"/>
    <w:rsid w:val="004D6E56"/>
    <w:rsid w:val="004E5360"/>
    <w:rsid w:val="004E651E"/>
    <w:rsid w:val="004E67B7"/>
    <w:rsid w:val="004E7EC1"/>
    <w:rsid w:val="004F0ACA"/>
    <w:rsid w:val="004F1673"/>
    <w:rsid w:val="00513B17"/>
    <w:rsid w:val="00514415"/>
    <w:rsid w:val="00517245"/>
    <w:rsid w:val="00517B83"/>
    <w:rsid w:val="005221DB"/>
    <w:rsid w:val="0052337E"/>
    <w:rsid w:val="005278DD"/>
    <w:rsid w:val="00531D03"/>
    <w:rsid w:val="00541F19"/>
    <w:rsid w:val="0054626B"/>
    <w:rsid w:val="005570FD"/>
    <w:rsid w:val="00572521"/>
    <w:rsid w:val="00574238"/>
    <w:rsid w:val="00575816"/>
    <w:rsid w:val="00575884"/>
    <w:rsid w:val="00581489"/>
    <w:rsid w:val="005A2684"/>
    <w:rsid w:val="005B2EC0"/>
    <w:rsid w:val="005C2305"/>
    <w:rsid w:val="005D4CB9"/>
    <w:rsid w:val="005E1BBA"/>
    <w:rsid w:val="0061098D"/>
    <w:rsid w:val="00610C47"/>
    <w:rsid w:val="006647A3"/>
    <w:rsid w:val="00671717"/>
    <w:rsid w:val="00672089"/>
    <w:rsid w:val="006759C8"/>
    <w:rsid w:val="00680D13"/>
    <w:rsid w:val="00682B2A"/>
    <w:rsid w:val="00694342"/>
    <w:rsid w:val="006B3EB6"/>
    <w:rsid w:val="006C3201"/>
    <w:rsid w:val="00702795"/>
    <w:rsid w:val="00705471"/>
    <w:rsid w:val="0070700C"/>
    <w:rsid w:val="00707490"/>
    <w:rsid w:val="00713D0A"/>
    <w:rsid w:val="00720DCC"/>
    <w:rsid w:val="00733CF1"/>
    <w:rsid w:val="007375CF"/>
    <w:rsid w:val="00751F34"/>
    <w:rsid w:val="00765CB8"/>
    <w:rsid w:val="00767F0F"/>
    <w:rsid w:val="007732DB"/>
    <w:rsid w:val="00781124"/>
    <w:rsid w:val="00781805"/>
    <w:rsid w:val="007A6FAB"/>
    <w:rsid w:val="007B2730"/>
    <w:rsid w:val="007B68AA"/>
    <w:rsid w:val="007C32E3"/>
    <w:rsid w:val="007C3C1E"/>
    <w:rsid w:val="007D440D"/>
    <w:rsid w:val="007D6F91"/>
    <w:rsid w:val="007F0ADC"/>
    <w:rsid w:val="007F251B"/>
    <w:rsid w:val="00806DA7"/>
    <w:rsid w:val="00807F27"/>
    <w:rsid w:val="00814361"/>
    <w:rsid w:val="008317E0"/>
    <w:rsid w:val="00831D31"/>
    <w:rsid w:val="00832655"/>
    <w:rsid w:val="008406D4"/>
    <w:rsid w:val="00843DDE"/>
    <w:rsid w:val="008509E9"/>
    <w:rsid w:val="00861132"/>
    <w:rsid w:val="00894153"/>
    <w:rsid w:val="008C3861"/>
    <w:rsid w:val="008D3483"/>
    <w:rsid w:val="008D99C3"/>
    <w:rsid w:val="008E24AE"/>
    <w:rsid w:val="008E57CF"/>
    <w:rsid w:val="008E5938"/>
    <w:rsid w:val="008E6D2D"/>
    <w:rsid w:val="008F03A5"/>
    <w:rsid w:val="008F4CC7"/>
    <w:rsid w:val="0090524A"/>
    <w:rsid w:val="00906EBD"/>
    <w:rsid w:val="00917927"/>
    <w:rsid w:val="00925319"/>
    <w:rsid w:val="009259BE"/>
    <w:rsid w:val="00952440"/>
    <w:rsid w:val="00953A4D"/>
    <w:rsid w:val="00955040"/>
    <w:rsid w:val="00962EE7"/>
    <w:rsid w:val="009848BF"/>
    <w:rsid w:val="00991E01"/>
    <w:rsid w:val="009A79DD"/>
    <w:rsid w:val="009B1D2B"/>
    <w:rsid w:val="009D1090"/>
    <w:rsid w:val="009D370E"/>
    <w:rsid w:val="009E5DC9"/>
    <w:rsid w:val="009E643E"/>
    <w:rsid w:val="009E6C4E"/>
    <w:rsid w:val="009F1820"/>
    <w:rsid w:val="00A020D1"/>
    <w:rsid w:val="00A0551F"/>
    <w:rsid w:val="00A130C5"/>
    <w:rsid w:val="00A20B6B"/>
    <w:rsid w:val="00A2395C"/>
    <w:rsid w:val="00A43B95"/>
    <w:rsid w:val="00A50791"/>
    <w:rsid w:val="00A52931"/>
    <w:rsid w:val="00A633E4"/>
    <w:rsid w:val="00A82514"/>
    <w:rsid w:val="00A93410"/>
    <w:rsid w:val="00A95A60"/>
    <w:rsid w:val="00AC10FF"/>
    <w:rsid w:val="00AC14ED"/>
    <w:rsid w:val="00AC18F0"/>
    <w:rsid w:val="00AC1937"/>
    <w:rsid w:val="00AC6893"/>
    <w:rsid w:val="00AF192B"/>
    <w:rsid w:val="00AF5E55"/>
    <w:rsid w:val="00B04DBA"/>
    <w:rsid w:val="00B065DD"/>
    <w:rsid w:val="00B1731E"/>
    <w:rsid w:val="00B265FC"/>
    <w:rsid w:val="00B31839"/>
    <w:rsid w:val="00B60E1D"/>
    <w:rsid w:val="00B61D79"/>
    <w:rsid w:val="00B64353"/>
    <w:rsid w:val="00B6526D"/>
    <w:rsid w:val="00B662F5"/>
    <w:rsid w:val="00B7050C"/>
    <w:rsid w:val="00B76A28"/>
    <w:rsid w:val="00B86AAA"/>
    <w:rsid w:val="00B96266"/>
    <w:rsid w:val="00BA6615"/>
    <w:rsid w:val="00BD0D88"/>
    <w:rsid w:val="00BD283F"/>
    <w:rsid w:val="00C01600"/>
    <w:rsid w:val="00C05EE8"/>
    <w:rsid w:val="00C10F6B"/>
    <w:rsid w:val="00C2087F"/>
    <w:rsid w:val="00C243F6"/>
    <w:rsid w:val="00C32E45"/>
    <w:rsid w:val="00C36727"/>
    <w:rsid w:val="00C4235D"/>
    <w:rsid w:val="00C762D8"/>
    <w:rsid w:val="00C77DF3"/>
    <w:rsid w:val="00C825A8"/>
    <w:rsid w:val="00C958C6"/>
    <w:rsid w:val="00CB2BAB"/>
    <w:rsid w:val="00CB2FDA"/>
    <w:rsid w:val="00CB452B"/>
    <w:rsid w:val="00CBAF0A"/>
    <w:rsid w:val="00CC29D6"/>
    <w:rsid w:val="00CC2F55"/>
    <w:rsid w:val="00CC3767"/>
    <w:rsid w:val="00CC3BFA"/>
    <w:rsid w:val="00CDA562"/>
    <w:rsid w:val="00CE3313"/>
    <w:rsid w:val="00CFB412"/>
    <w:rsid w:val="00D246CA"/>
    <w:rsid w:val="00D25DC8"/>
    <w:rsid w:val="00D51F56"/>
    <w:rsid w:val="00D60617"/>
    <w:rsid w:val="00D627F9"/>
    <w:rsid w:val="00D6676F"/>
    <w:rsid w:val="00D727DA"/>
    <w:rsid w:val="00D72951"/>
    <w:rsid w:val="00D82688"/>
    <w:rsid w:val="00D8440C"/>
    <w:rsid w:val="00D8457D"/>
    <w:rsid w:val="00D90102"/>
    <w:rsid w:val="00D920FE"/>
    <w:rsid w:val="00DA4C07"/>
    <w:rsid w:val="00DB4AE8"/>
    <w:rsid w:val="00DC2DBF"/>
    <w:rsid w:val="00DC37F8"/>
    <w:rsid w:val="00DC3C99"/>
    <w:rsid w:val="00DE145B"/>
    <w:rsid w:val="00DE1712"/>
    <w:rsid w:val="00E12392"/>
    <w:rsid w:val="00E369EE"/>
    <w:rsid w:val="00E51704"/>
    <w:rsid w:val="00E518A3"/>
    <w:rsid w:val="00E5430E"/>
    <w:rsid w:val="00E54495"/>
    <w:rsid w:val="00E576B5"/>
    <w:rsid w:val="00E62CD9"/>
    <w:rsid w:val="00E637AB"/>
    <w:rsid w:val="00E66F51"/>
    <w:rsid w:val="00E7128C"/>
    <w:rsid w:val="00E74041"/>
    <w:rsid w:val="00E87360"/>
    <w:rsid w:val="00E930FD"/>
    <w:rsid w:val="00E93D24"/>
    <w:rsid w:val="00E93E7F"/>
    <w:rsid w:val="00E94ADD"/>
    <w:rsid w:val="00E9777F"/>
    <w:rsid w:val="00EA1168"/>
    <w:rsid w:val="00EA50F2"/>
    <w:rsid w:val="00EB4E76"/>
    <w:rsid w:val="00EB58F4"/>
    <w:rsid w:val="00EB79FE"/>
    <w:rsid w:val="00EC4256"/>
    <w:rsid w:val="00EC49B9"/>
    <w:rsid w:val="00EE0BE3"/>
    <w:rsid w:val="00EE229D"/>
    <w:rsid w:val="00EE6477"/>
    <w:rsid w:val="00F0169B"/>
    <w:rsid w:val="00F14D48"/>
    <w:rsid w:val="00F4770A"/>
    <w:rsid w:val="00F50616"/>
    <w:rsid w:val="00F5276A"/>
    <w:rsid w:val="00F85A87"/>
    <w:rsid w:val="00F86584"/>
    <w:rsid w:val="00F97D7E"/>
    <w:rsid w:val="00FD7780"/>
    <w:rsid w:val="00FE0E72"/>
    <w:rsid w:val="00FE6DC1"/>
    <w:rsid w:val="00FE6DC8"/>
    <w:rsid w:val="0136B1EE"/>
    <w:rsid w:val="0146B8CA"/>
    <w:rsid w:val="014852C1"/>
    <w:rsid w:val="01E0BA7A"/>
    <w:rsid w:val="01EC2C1D"/>
    <w:rsid w:val="01EDC7D0"/>
    <w:rsid w:val="01F14F23"/>
    <w:rsid w:val="022CB1FD"/>
    <w:rsid w:val="0241F5C5"/>
    <w:rsid w:val="02453723"/>
    <w:rsid w:val="0252B7D3"/>
    <w:rsid w:val="027D6C92"/>
    <w:rsid w:val="02D5C218"/>
    <w:rsid w:val="02D62A76"/>
    <w:rsid w:val="02E543C9"/>
    <w:rsid w:val="02FCF030"/>
    <w:rsid w:val="03746186"/>
    <w:rsid w:val="038D3E0F"/>
    <w:rsid w:val="03AB779D"/>
    <w:rsid w:val="03CDCF6F"/>
    <w:rsid w:val="03D12F1B"/>
    <w:rsid w:val="03E6F7CC"/>
    <w:rsid w:val="04164CDF"/>
    <w:rsid w:val="047DCA63"/>
    <w:rsid w:val="048F789B"/>
    <w:rsid w:val="04C2E5A9"/>
    <w:rsid w:val="04C9DCAC"/>
    <w:rsid w:val="04CC6A9A"/>
    <w:rsid w:val="04F2F987"/>
    <w:rsid w:val="05143039"/>
    <w:rsid w:val="05256892"/>
    <w:rsid w:val="05754B98"/>
    <w:rsid w:val="05799687"/>
    <w:rsid w:val="05C7AB58"/>
    <w:rsid w:val="06278A0B"/>
    <w:rsid w:val="063090B6"/>
    <w:rsid w:val="06359C32"/>
    <w:rsid w:val="0695B249"/>
    <w:rsid w:val="06B41A79"/>
    <w:rsid w:val="06F54570"/>
    <w:rsid w:val="06FD5DC0"/>
    <w:rsid w:val="07356D9F"/>
    <w:rsid w:val="07364A76"/>
    <w:rsid w:val="0761207A"/>
    <w:rsid w:val="0769BEFF"/>
    <w:rsid w:val="079911DF"/>
    <w:rsid w:val="07C116ED"/>
    <w:rsid w:val="07D80248"/>
    <w:rsid w:val="07DD934B"/>
    <w:rsid w:val="07E1AA18"/>
    <w:rsid w:val="07F7DF42"/>
    <w:rsid w:val="07FE91A6"/>
    <w:rsid w:val="085D0954"/>
    <w:rsid w:val="088AFD3E"/>
    <w:rsid w:val="08926E5A"/>
    <w:rsid w:val="08D04467"/>
    <w:rsid w:val="08E6B27A"/>
    <w:rsid w:val="08F868BA"/>
    <w:rsid w:val="0934F55A"/>
    <w:rsid w:val="0939695B"/>
    <w:rsid w:val="0940F95A"/>
    <w:rsid w:val="09484749"/>
    <w:rsid w:val="09547689"/>
    <w:rsid w:val="0993B174"/>
    <w:rsid w:val="09A5B8CC"/>
    <w:rsid w:val="09BC76F2"/>
    <w:rsid w:val="09EBC8BA"/>
    <w:rsid w:val="09EC3C13"/>
    <w:rsid w:val="09F2DD1F"/>
    <w:rsid w:val="09F7A5C3"/>
    <w:rsid w:val="09FC3F58"/>
    <w:rsid w:val="0A69A13B"/>
    <w:rsid w:val="0A81F41E"/>
    <w:rsid w:val="0AD7A64D"/>
    <w:rsid w:val="0AF01BAD"/>
    <w:rsid w:val="0B4A18E9"/>
    <w:rsid w:val="0B5DC2EE"/>
    <w:rsid w:val="0BE3D949"/>
    <w:rsid w:val="0BF0FC54"/>
    <w:rsid w:val="0C13A730"/>
    <w:rsid w:val="0C24A28D"/>
    <w:rsid w:val="0C2838C0"/>
    <w:rsid w:val="0C3E100E"/>
    <w:rsid w:val="0C51E087"/>
    <w:rsid w:val="0C7FE755"/>
    <w:rsid w:val="0C8F0C1D"/>
    <w:rsid w:val="0CB22411"/>
    <w:rsid w:val="0CB231C1"/>
    <w:rsid w:val="0CD26AFB"/>
    <w:rsid w:val="0D698BEE"/>
    <w:rsid w:val="0D81283B"/>
    <w:rsid w:val="0D92F0B8"/>
    <w:rsid w:val="0DB49AFB"/>
    <w:rsid w:val="0DBC2ECE"/>
    <w:rsid w:val="0E305871"/>
    <w:rsid w:val="0E491EB2"/>
    <w:rsid w:val="0E532980"/>
    <w:rsid w:val="0E637871"/>
    <w:rsid w:val="0E6AA282"/>
    <w:rsid w:val="0E930E1C"/>
    <w:rsid w:val="0E9563B0"/>
    <w:rsid w:val="0EC12AA2"/>
    <w:rsid w:val="0EF18B52"/>
    <w:rsid w:val="0EF7C26A"/>
    <w:rsid w:val="0F042C70"/>
    <w:rsid w:val="0FCAEEB3"/>
    <w:rsid w:val="0FD56C8B"/>
    <w:rsid w:val="0FDB60DD"/>
    <w:rsid w:val="0FE4EF13"/>
    <w:rsid w:val="10130709"/>
    <w:rsid w:val="102E3C20"/>
    <w:rsid w:val="104C95F7"/>
    <w:rsid w:val="104E7DEE"/>
    <w:rsid w:val="109B3B42"/>
    <w:rsid w:val="10A2FA9F"/>
    <w:rsid w:val="10A53F5D"/>
    <w:rsid w:val="10AA8A9A"/>
    <w:rsid w:val="1167BD1B"/>
    <w:rsid w:val="119B1933"/>
    <w:rsid w:val="11D64479"/>
    <w:rsid w:val="11DDBDD5"/>
    <w:rsid w:val="11E58752"/>
    <w:rsid w:val="123C5858"/>
    <w:rsid w:val="127BE1BD"/>
    <w:rsid w:val="12C2AF43"/>
    <w:rsid w:val="12D5FDC8"/>
    <w:rsid w:val="12E277E2"/>
    <w:rsid w:val="13097C53"/>
    <w:rsid w:val="1319AD61"/>
    <w:rsid w:val="133B82DB"/>
    <w:rsid w:val="13530D79"/>
    <w:rsid w:val="136EDC89"/>
    <w:rsid w:val="13785249"/>
    <w:rsid w:val="13798E36"/>
    <w:rsid w:val="137AA450"/>
    <w:rsid w:val="13A2969B"/>
    <w:rsid w:val="13A6AF89"/>
    <w:rsid w:val="13EBE0BF"/>
    <w:rsid w:val="1412FF93"/>
    <w:rsid w:val="14409028"/>
    <w:rsid w:val="144DC7BB"/>
    <w:rsid w:val="15736E64"/>
    <w:rsid w:val="15ACEFB4"/>
    <w:rsid w:val="15B3E06C"/>
    <w:rsid w:val="161626F2"/>
    <w:rsid w:val="1690E35E"/>
    <w:rsid w:val="1691D4E5"/>
    <w:rsid w:val="16B869B8"/>
    <w:rsid w:val="16DC2EB8"/>
    <w:rsid w:val="16F47B72"/>
    <w:rsid w:val="1707B44F"/>
    <w:rsid w:val="17232F37"/>
    <w:rsid w:val="17BFD585"/>
    <w:rsid w:val="17DDB3BE"/>
    <w:rsid w:val="17E8DEEF"/>
    <w:rsid w:val="183336C1"/>
    <w:rsid w:val="183FC9FC"/>
    <w:rsid w:val="185978E5"/>
    <w:rsid w:val="186813EE"/>
    <w:rsid w:val="18723B1F"/>
    <w:rsid w:val="18AB2842"/>
    <w:rsid w:val="18C739EC"/>
    <w:rsid w:val="18E0AA58"/>
    <w:rsid w:val="18E7CE0F"/>
    <w:rsid w:val="18EF682D"/>
    <w:rsid w:val="1906A5B6"/>
    <w:rsid w:val="19197AB3"/>
    <w:rsid w:val="192A1BA0"/>
    <w:rsid w:val="19402A24"/>
    <w:rsid w:val="195DB739"/>
    <w:rsid w:val="198A4304"/>
    <w:rsid w:val="19CF0920"/>
    <w:rsid w:val="19E7F407"/>
    <w:rsid w:val="19F83C49"/>
    <w:rsid w:val="1A13EB26"/>
    <w:rsid w:val="1A24AC22"/>
    <w:rsid w:val="1A395A62"/>
    <w:rsid w:val="1A442D16"/>
    <w:rsid w:val="1A4552E6"/>
    <w:rsid w:val="1A53BB12"/>
    <w:rsid w:val="1AA0056E"/>
    <w:rsid w:val="1AA27617"/>
    <w:rsid w:val="1AA7F945"/>
    <w:rsid w:val="1AB45740"/>
    <w:rsid w:val="1ABD1DC9"/>
    <w:rsid w:val="1AD06FB8"/>
    <w:rsid w:val="1AD2DEBF"/>
    <w:rsid w:val="1AE3757F"/>
    <w:rsid w:val="1AECC9B2"/>
    <w:rsid w:val="1B1D0821"/>
    <w:rsid w:val="1B2D90F6"/>
    <w:rsid w:val="1B3A8E48"/>
    <w:rsid w:val="1B3F5759"/>
    <w:rsid w:val="1B463184"/>
    <w:rsid w:val="1B73413B"/>
    <w:rsid w:val="1B780EDC"/>
    <w:rsid w:val="1B97B85F"/>
    <w:rsid w:val="1BA8F336"/>
    <w:rsid w:val="1BAF65B7"/>
    <w:rsid w:val="1BAF8116"/>
    <w:rsid w:val="1C0F465B"/>
    <w:rsid w:val="1C5E04AD"/>
    <w:rsid w:val="1C6425AE"/>
    <w:rsid w:val="1CCD2227"/>
    <w:rsid w:val="1CD0C671"/>
    <w:rsid w:val="1CD99FF1"/>
    <w:rsid w:val="1CF61178"/>
    <w:rsid w:val="1D8B49EA"/>
    <w:rsid w:val="1E363775"/>
    <w:rsid w:val="1E3D3B6C"/>
    <w:rsid w:val="1E4C3394"/>
    <w:rsid w:val="1E576FE0"/>
    <w:rsid w:val="1E5BB1AC"/>
    <w:rsid w:val="1EC997A5"/>
    <w:rsid w:val="1EC9BEE3"/>
    <w:rsid w:val="1ECE33FC"/>
    <w:rsid w:val="1EDFD140"/>
    <w:rsid w:val="1EFE0625"/>
    <w:rsid w:val="1F271A4B"/>
    <w:rsid w:val="1F29D66D"/>
    <w:rsid w:val="1F2A45AC"/>
    <w:rsid w:val="1F8F6F1B"/>
    <w:rsid w:val="1FA8EB2B"/>
    <w:rsid w:val="1FB5EF06"/>
    <w:rsid w:val="1FCEC11A"/>
    <w:rsid w:val="1FF37791"/>
    <w:rsid w:val="1FFC837D"/>
    <w:rsid w:val="205B6217"/>
    <w:rsid w:val="205FE4A2"/>
    <w:rsid w:val="2061DB29"/>
    <w:rsid w:val="207C6459"/>
    <w:rsid w:val="20E537EF"/>
    <w:rsid w:val="20EB9D30"/>
    <w:rsid w:val="20F3B158"/>
    <w:rsid w:val="20F6AD52"/>
    <w:rsid w:val="212C5F4D"/>
    <w:rsid w:val="21573C76"/>
    <w:rsid w:val="21696A11"/>
    <w:rsid w:val="21A44D9A"/>
    <w:rsid w:val="21D15373"/>
    <w:rsid w:val="21E653C2"/>
    <w:rsid w:val="22027A81"/>
    <w:rsid w:val="22094971"/>
    <w:rsid w:val="220C3A30"/>
    <w:rsid w:val="2221B44E"/>
    <w:rsid w:val="224588A9"/>
    <w:rsid w:val="226429CC"/>
    <w:rsid w:val="22E0DB8B"/>
    <w:rsid w:val="2312BFFE"/>
    <w:rsid w:val="23161A3F"/>
    <w:rsid w:val="233C9652"/>
    <w:rsid w:val="237E5320"/>
    <w:rsid w:val="2391DA57"/>
    <w:rsid w:val="239AF67C"/>
    <w:rsid w:val="23BBF2A1"/>
    <w:rsid w:val="23BD67E4"/>
    <w:rsid w:val="23D21C2E"/>
    <w:rsid w:val="23DC1507"/>
    <w:rsid w:val="23E44B17"/>
    <w:rsid w:val="2436EFA2"/>
    <w:rsid w:val="2439FF4C"/>
    <w:rsid w:val="245EF1DD"/>
    <w:rsid w:val="2467A092"/>
    <w:rsid w:val="249CC29A"/>
    <w:rsid w:val="24D30091"/>
    <w:rsid w:val="250454E3"/>
    <w:rsid w:val="251A2381"/>
    <w:rsid w:val="25540D0B"/>
    <w:rsid w:val="2557C302"/>
    <w:rsid w:val="255E8B53"/>
    <w:rsid w:val="256F46F3"/>
    <w:rsid w:val="25923B9F"/>
    <w:rsid w:val="25BADB9C"/>
    <w:rsid w:val="25BC45B1"/>
    <w:rsid w:val="25CC4FDC"/>
    <w:rsid w:val="26886637"/>
    <w:rsid w:val="26EB90FA"/>
    <w:rsid w:val="27382D9E"/>
    <w:rsid w:val="280CD8B0"/>
    <w:rsid w:val="28243698"/>
    <w:rsid w:val="2834427F"/>
    <w:rsid w:val="285A4AC0"/>
    <w:rsid w:val="285F1795"/>
    <w:rsid w:val="28772CEE"/>
    <w:rsid w:val="288BADCD"/>
    <w:rsid w:val="28A6E7B5"/>
    <w:rsid w:val="28C19600"/>
    <w:rsid w:val="28E87456"/>
    <w:rsid w:val="2924B706"/>
    <w:rsid w:val="292727E2"/>
    <w:rsid w:val="29580973"/>
    <w:rsid w:val="2985CEE2"/>
    <w:rsid w:val="29D0863C"/>
    <w:rsid w:val="2A089E17"/>
    <w:rsid w:val="2A1E2FE2"/>
    <w:rsid w:val="2A277E2E"/>
    <w:rsid w:val="2A2B3425"/>
    <w:rsid w:val="2A5C4FDF"/>
    <w:rsid w:val="2A5CEFCA"/>
    <w:rsid w:val="2A75C475"/>
    <w:rsid w:val="2A773F1F"/>
    <w:rsid w:val="2A7D7D9F"/>
    <w:rsid w:val="2A9A0D7A"/>
    <w:rsid w:val="2AA0A368"/>
    <w:rsid w:val="2ABD5EF9"/>
    <w:rsid w:val="2AC6ADC3"/>
    <w:rsid w:val="2AE69382"/>
    <w:rsid w:val="2B31606D"/>
    <w:rsid w:val="2B3299F9"/>
    <w:rsid w:val="2B6F42F8"/>
    <w:rsid w:val="2B72B96A"/>
    <w:rsid w:val="2BB059C5"/>
    <w:rsid w:val="2BC0748E"/>
    <w:rsid w:val="2BC34E8F"/>
    <w:rsid w:val="2BFEB1B1"/>
    <w:rsid w:val="2C244199"/>
    <w:rsid w:val="2C39658A"/>
    <w:rsid w:val="2C5EC8A4"/>
    <w:rsid w:val="2C8006FE"/>
    <w:rsid w:val="2C8CC070"/>
    <w:rsid w:val="2C9D4715"/>
    <w:rsid w:val="2CDC9984"/>
    <w:rsid w:val="2CE049D3"/>
    <w:rsid w:val="2CE8EB6C"/>
    <w:rsid w:val="2D04B048"/>
    <w:rsid w:val="2D12A373"/>
    <w:rsid w:val="2D15F28D"/>
    <w:rsid w:val="2D1D27A0"/>
    <w:rsid w:val="2D549FC3"/>
    <w:rsid w:val="2D62D4E7"/>
    <w:rsid w:val="2DA95B3A"/>
    <w:rsid w:val="2DAAD775"/>
    <w:rsid w:val="2DF9EEA2"/>
    <w:rsid w:val="2E0A5ED3"/>
    <w:rsid w:val="2E0E60EA"/>
    <w:rsid w:val="2E1CCF19"/>
    <w:rsid w:val="2E59F0DE"/>
    <w:rsid w:val="2E7CE8F3"/>
    <w:rsid w:val="2F2446E6"/>
    <w:rsid w:val="2F3577B9"/>
    <w:rsid w:val="2F452B9B"/>
    <w:rsid w:val="2F5A8CE1"/>
    <w:rsid w:val="2FA85B9B"/>
    <w:rsid w:val="2FB06804"/>
    <w:rsid w:val="2FFC2F81"/>
    <w:rsid w:val="302185E2"/>
    <w:rsid w:val="30387A23"/>
    <w:rsid w:val="30426309"/>
    <w:rsid w:val="305AF282"/>
    <w:rsid w:val="306D653C"/>
    <w:rsid w:val="307BC60C"/>
    <w:rsid w:val="30A73247"/>
    <w:rsid w:val="30B47F3E"/>
    <w:rsid w:val="30CD02D1"/>
    <w:rsid w:val="30CD2C69"/>
    <w:rsid w:val="30CE5C3B"/>
    <w:rsid w:val="30DDD583"/>
    <w:rsid w:val="30E0FBFC"/>
    <w:rsid w:val="30E4275D"/>
    <w:rsid w:val="30EBD13D"/>
    <w:rsid w:val="310D0122"/>
    <w:rsid w:val="3114F617"/>
    <w:rsid w:val="3116A08E"/>
    <w:rsid w:val="3119116A"/>
    <w:rsid w:val="312ADC61"/>
    <w:rsid w:val="3140767E"/>
    <w:rsid w:val="314FEDD9"/>
    <w:rsid w:val="31663453"/>
    <w:rsid w:val="31CB18DE"/>
    <w:rsid w:val="31E01479"/>
    <w:rsid w:val="3206A5DB"/>
    <w:rsid w:val="320E28B6"/>
    <w:rsid w:val="321D1DAD"/>
    <w:rsid w:val="32642228"/>
    <w:rsid w:val="32689652"/>
    <w:rsid w:val="327FF7BE"/>
    <w:rsid w:val="32A63168"/>
    <w:rsid w:val="32DD26A3"/>
    <w:rsid w:val="32F9C849"/>
    <w:rsid w:val="3352A4CE"/>
    <w:rsid w:val="339B5929"/>
    <w:rsid w:val="33AF364F"/>
    <w:rsid w:val="33F2D94A"/>
    <w:rsid w:val="3404A393"/>
    <w:rsid w:val="342839FA"/>
    <w:rsid w:val="3457EEBD"/>
    <w:rsid w:val="34674803"/>
    <w:rsid w:val="346769AD"/>
    <w:rsid w:val="353C8799"/>
    <w:rsid w:val="354E2E77"/>
    <w:rsid w:val="355E9DF1"/>
    <w:rsid w:val="3565771C"/>
    <w:rsid w:val="3566D581"/>
    <w:rsid w:val="35810051"/>
    <w:rsid w:val="35AFFDE6"/>
    <w:rsid w:val="35E97752"/>
    <w:rsid w:val="36157A14"/>
    <w:rsid w:val="365E2A4E"/>
    <w:rsid w:val="365EF562"/>
    <w:rsid w:val="36A6E701"/>
    <w:rsid w:val="36E25C70"/>
    <w:rsid w:val="36E8EEB1"/>
    <w:rsid w:val="3746B06C"/>
    <w:rsid w:val="3749EB94"/>
    <w:rsid w:val="3758CF24"/>
    <w:rsid w:val="3798B70F"/>
    <w:rsid w:val="37AA29CC"/>
    <w:rsid w:val="38497F31"/>
    <w:rsid w:val="388F93C7"/>
    <w:rsid w:val="39076BD9"/>
    <w:rsid w:val="393AB926"/>
    <w:rsid w:val="3970B5C7"/>
    <w:rsid w:val="3975045A"/>
    <w:rsid w:val="3991A269"/>
    <w:rsid w:val="39C6BA61"/>
    <w:rsid w:val="3A331B22"/>
    <w:rsid w:val="3A50CEB9"/>
    <w:rsid w:val="3ABCE875"/>
    <w:rsid w:val="3AD19A8E"/>
    <w:rsid w:val="3AE6E607"/>
    <w:rsid w:val="3AE6E7C9"/>
    <w:rsid w:val="3AF31BFD"/>
    <w:rsid w:val="3AFD08AC"/>
    <w:rsid w:val="3B02DE21"/>
    <w:rsid w:val="3B1A4D7B"/>
    <w:rsid w:val="3B1F748A"/>
    <w:rsid w:val="3B441F17"/>
    <w:rsid w:val="3B923A86"/>
    <w:rsid w:val="3BE09F1F"/>
    <w:rsid w:val="3BEBE87E"/>
    <w:rsid w:val="3C0D8FB4"/>
    <w:rsid w:val="3C0E55D2"/>
    <w:rsid w:val="3C198608"/>
    <w:rsid w:val="3C701AA0"/>
    <w:rsid w:val="3C7EC4CA"/>
    <w:rsid w:val="3C92B01A"/>
    <w:rsid w:val="3C96EDFF"/>
    <w:rsid w:val="3CDDA7E1"/>
    <w:rsid w:val="3D0A4B54"/>
    <w:rsid w:val="3D2CA254"/>
    <w:rsid w:val="3D3BBEB3"/>
    <w:rsid w:val="3D56654D"/>
    <w:rsid w:val="3D6804FE"/>
    <w:rsid w:val="3DA3B324"/>
    <w:rsid w:val="3DC8073A"/>
    <w:rsid w:val="3E2E4D20"/>
    <w:rsid w:val="3E2E807B"/>
    <w:rsid w:val="3E9A2B84"/>
    <w:rsid w:val="3EB2D52A"/>
    <w:rsid w:val="3EC3F797"/>
    <w:rsid w:val="3ECFD43E"/>
    <w:rsid w:val="3EFA07B2"/>
    <w:rsid w:val="3F174043"/>
    <w:rsid w:val="3F327EF4"/>
    <w:rsid w:val="3F36DA36"/>
    <w:rsid w:val="3F3D5E7D"/>
    <w:rsid w:val="3F615323"/>
    <w:rsid w:val="3F6430B0"/>
    <w:rsid w:val="3F77C238"/>
    <w:rsid w:val="3F944263"/>
    <w:rsid w:val="3F953188"/>
    <w:rsid w:val="4005ED40"/>
    <w:rsid w:val="4006E799"/>
    <w:rsid w:val="40162F74"/>
    <w:rsid w:val="40357590"/>
    <w:rsid w:val="404E6D3C"/>
    <w:rsid w:val="40527C42"/>
    <w:rsid w:val="405EC321"/>
    <w:rsid w:val="4072A68D"/>
    <w:rsid w:val="409C5929"/>
    <w:rsid w:val="40A86620"/>
    <w:rsid w:val="40A8EB4D"/>
    <w:rsid w:val="410E5558"/>
    <w:rsid w:val="4121F6FA"/>
    <w:rsid w:val="4125D00A"/>
    <w:rsid w:val="414EDAFD"/>
    <w:rsid w:val="4174C66A"/>
    <w:rsid w:val="41B3609B"/>
    <w:rsid w:val="42159933"/>
    <w:rsid w:val="424A238F"/>
    <w:rsid w:val="4251F239"/>
    <w:rsid w:val="4289D79F"/>
    <w:rsid w:val="42A57851"/>
    <w:rsid w:val="42B87155"/>
    <w:rsid w:val="42C894B9"/>
    <w:rsid w:val="43236B14"/>
    <w:rsid w:val="43276A3D"/>
    <w:rsid w:val="432F187D"/>
    <w:rsid w:val="43537EB6"/>
    <w:rsid w:val="43785FFE"/>
    <w:rsid w:val="43ADD2A1"/>
    <w:rsid w:val="43C54D4D"/>
    <w:rsid w:val="43ECC054"/>
    <w:rsid w:val="4403B3CA"/>
    <w:rsid w:val="441A3020"/>
    <w:rsid w:val="44479CAE"/>
    <w:rsid w:val="444AA25E"/>
    <w:rsid w:val="446826E2"/>
    <w:rsid w:val="447256B4"/>
    <w:rsid w:val="44B49733"/>
    <w:rsid w:val="44CAE61C"/>
    <w:rsid w:val="44CD2D15"/>
    <w:rsid w:val="44D24110"/>
    <w:rsid w:val="44DA58BC"/>
    <w:rsid w:val="4502ABCF"/>
    <w:rsid w:val="45095B1E"/>
    <w:rsid w:val="452E8A1E"/>
    <w:rsid w:val="454A9F2E"/>
    <w:rsid w:val="45BAEA00"/>
    <w:rsid w:val="45C8B3CD"/>
    <w:rsid w:val="45D03809"/>
    <w:rsid w:val="45F37800"/>
    <w:rsid w:val="45FCC64C"/>
    <w:rsid w:val="4617BB47"/>
    <w:rsid w:val="4626BFA2"/>
    <w:rsid w:val="4627B8E9"/>
    <w:rsid w:val="463FC906"/>
    <w:rsid w:val="464794D9"/>
    <w:rsid w:val="4664A879"/>
    <w:rsid w:val="469CC02C"/>
    <w:rsid w:val="46A4781E"/>
    <w:rsid w:val="46A856E0"/>
    <w:rsid w:val="46B23DC4"/>
    <w:rsid w:val="46D37123"/>
    <w:rsid w:val="475C2F65"/>
    <w:rsid w:val="479DA002"/>
    <w:rsid w:val="47A742DD"/>
    <w:rsid w:val="47E2B8E3"/>
    <w:rsid w:val="47F89DE1"/>
    <w:rsid w:val="48182273"/>
    <w:rsid w:val="482C4BC4"/>
    <w:rsid w:val="484BD121"/>
    <w:rsid w:val="486FE60A"/>
    <w:rsid w:val="4887C240"/>
    <w:rsid w:val="48916544"/>
    <w:rsid w:val="4897C250"/>
    <w:rsid w:val="48A6FAF8"/>
    <w:rsid w:val="48EAF841"/>
    <w:rsid w:val="48F86320"/>
    <w:rsid w:val="4911A66F"/>
    <w:rsid w:val="4914F472"/>
    <w:rsid w:val="491FBC21"/>
    <w:rsid w:val="493833F4"/>
    <w:rsid w:val="493BC7F8"/>
    <w:rsid w:val="49CFA567"/>
    <w:rsid w:val="49F80974"/>
    <w:rsid w:val="4A4F0F1A"/>
    <w:rsid w:val="4A60572A"/>
    <w:rsid w:val="4AB23573"/>
    <w:rsid w:val="4AC659A4"/>
    <w:rsid w:val="4B083C97"/>
    <w:rsid w:val="4B47BA45"/>
    <w:rsid w:val="4B54F702"/>
    <w:rsid w:val="4B6CF6D5"/>
    <w:rsid w:val="4B8926DB"/>
    <w:rsid w:val="4B994C19"/>
    <w:rsid w:val="4B99C3C7"/>
    <w:rsid w:val="4BA81B11"/>
    <w:rsid w:val="4BAE4134"/>
    <w:rsid w:val="4BB3818A"/>
    <w:rsid w:val="4BB8FB60"/>
    <w:rsid w:val="4BBD93E9"/>
    <w:rsid w:val="4BC27D07"/>
    <w:rsid w:val="4BC3F0F5"/>
    <w:rsid w:val="4BC76991"/>
    <w:rsid w:val="4BE0C15B"/>
    <w:rsid w:val="4BF08632"/>
    <w:rsid w:val="4C016D15"/>
    <w:rsid w:val="4C1CE67C"/>
    <w:rsid w:val="4C46184B"/>
    <w:rsid w:val="4C4C9534"/>
    <w:rsid w:val="4C9C9F3A"/>
    <w:rsid w:val="4CD74979"/>
    <w:rsid w:val="4CEBAE65"/>
    <w:rsid w:val="4CF49637"/>
    <w:rsid w:val="4CFBC0F6"/>
    <w:rsid w:val="4D4DD0A7"/>
    <w:rsid w:val="4D6A19F9"/>
    <w:rsid w:val="4DE56188"/>
    <w:rsid w:val="4DECC8BD"/>
    <w:rsid w:val="4DFE89E5"/>
    <w:rsid w:val="4E42BCFD"/>
    <w:rsid w:val="4E5BA2AC"/>
    <w:rsid w:val="4EA7186F"/>
    <w:rsid w:val="4EAB8190"/>
    <w:rsid w:val="4EB2924F"/>
    <w:rsid w:val="4EE5E1F6"/>
    <w:rsid w:val="4EEED506"/>
    <w:rsid w:val="4F062333"/>
    <w:rsid w:val="4F1097AA"/>
    <w:rsid w:val="4F1CA94A"/>
    <w:rsid w:val="4F391EFB"/>
    <w:rsid w:val="4F4822A5"/>
    <w:rsid w:val="4F8435F6"/>
    <w:rsid w:val="4F8AE9E4"/>
    <w:rsid w:val="4FF32766"/>
    <w:rsid w:val="500DBC1C"/>
    <w:rsid w:val="501E6565"/>
    <w:rsid w:val="5020A896"/>
    <w:rsid w:val="503A5E83"/>
    <w:rsid w:val="505246CD"/>
    <w:rsid w:val="5076E038"/>
    <w:rsid w:val="50ADF938"/>
    <w:rsid w:val="50C4AA62"/>
    <w:rsid w:val="50C8D455"/>
    <w:rsid w:val="50CF1349"/>
    <w:rsid w:val="515C62FF"/>
    <w:rsid w:val="515DAAA5"/>
    <w:rsid w:val="517A8158"/>
    <w:rsid w:val="51884A47"/>
    <w:rsid w:val="518C41EB"/>
    <w:rsid w:val="51A58F62"/>
    <w:rsid w:val="51B0CE9D"/>
    <w:rsid w:val="51B7E06F"/>
    <w:rsid w:val="51FA0EB7"/>
    <w:rsid w:val="521FF394"/>
    <w:rsid w:val="52B8D2AB"/>
    <w:rsid w:val="534FD949"/>
    <w:rsid w:val="536D424C"/>
    <w:rsid w:val="5395DF18"/>
    <w:rsid w:val="53AC27F2"/>
    <w:rsid w:val="53C5E5E4"/>
    <w:rsid w:val="53CDAF8E"/>
    <w:rsid w:val="53F6F4F5"/>
    <w:rsid w:val="53FB41EE"/>
    <w:rsid w:val="5427D0CC"/>
    <w:rsid w:val="54339462"/>
    <w:rsid w:val="5447E022"/>
    <w:rsid w:val="545278F8"/>
    <w:rsid w:val="54564D2C"/>
    <w:rsid w:val="546A271E"/>
    <w:rsid w:val="54A2B7DD"/>
    <w:rsid w:val="54AA72AF"/>
    <w:rsid w:val="54E2ADE3"/>
    <w:rsid w:val="550D7E0E"/>
    <w:rsid w:val="5539C28F"/>
    <w:rsid w:val="558054F7"/>
    <w:rsid w:val="55859BA5"/>
    <w:rsid w:val="55B66369"/>
    <w:rsid w:val="55FD3FA8"/>
    <w:rsid w:val="56195A41"/>
    <w:rsid w:val="566A53AE"/>
    <w:rsid w:val="56877A0B"/>
    <w:rsid w:val="56A3EA21"/>
    <w:rsid w:val="56B4942D"/>
    <w:rsid w:val="56C0E798"/>
    <w:rsid w:val="56DFC967"/>
    <w:rsid w:val="56DFCF16"/>
    <w:rsid w:val="56EA52E3"/>
    <w:rsid w:val="56EF48C8"/>
    <w:rsid w:val="576D9F28"/>
    <w:rsid w:val="5784F411"/>
    <w:rsid w:val="578A19BA"/>
    <w:rsid w:val="57B73938"/>
    <w:rsid w:val="582E47D3"/>
    <w:rsid w:val="58300ACE"/>
    <w:rsid w:val="58716351"/>
    <w:rsid w:val="587E4A05"/>
    <w:rsid w:val="589383DE"/>
    <w:rsid w:val="5897104C"/>
    <w:rsid w:val="58999754"/>
    <w:rsid w:val="58A0DBF6"/>
    <w:rsid w:val="58AE6B56"/>
    <w:rsid w:val="58C99153"/>
    <w:rsid w:val="58D18955"/>
    <w:rsid w:val="58F1FC3E"/>
    <w:rsid w:val="5925EA1B"/>
    <w:rsid w:val="5931CC2A"/>
    <w:rsid w:val="5939E93B"/>
    <w:rsid w:val="593F5A6E"/>
    <w:rsid w:val="5947C49B"/>
    <w:rsid w:val="5955B7DE"/>
    <w:rsid w:val="59622A71"/>
    <w:rsid w:val="59730C0A"/>
    <w:rsid w:val="598EBC86"/>
    <w:rsid w:val="598EDF6F"/>
    <w:rsid w:val="59F8972B"/>
    <w:rsid w:val="5A1C1E46"/>
    <w:rsid w:val="5A1D6848"/>
    <w:rsid w:val="5A2C0C28"/>
    <w:rsid w:val="5A63A6C3"/>
    <w:rsid w:val="5A90B99C"/>
    <w:rsid w:val="5AC0BE98"/>
    <w:rsid w:val="5AF56FA8"/>
    <w:rsid w:val="5AF579B6"/>
    <w:rsid w:val="5B090ADF"/>
    <w:rsid w:val="5B509DB6"/>
    <w:rsid w:val="5B6F9495"/>
    <w:rsid w:val="5B800FF2"/>
    <w:rsid w:val="5BAAA242"/>
    <w:rsid w:val="5BBD70B0"/>
    <w:rsid w:val="5BD9F50E"/>
    <w:rsid w:val="5C05D269"/>
    <w:rsid w:val="5C377DC7"/>
    <w:rsid w:val="5C54B5F1"/>
    <w:rsid w:val="5C95645B"/>
    <w:rsid w:val="5C9647BD"/>
    <w:rsid w:val="5C9975E5"/>
    <w:rsid w:val="5C9F15A6"/>
    <w:rsid w:val="5CB63992"/>
    <w:rsid w:val="5CC3B062"/>
    <w:rsid w:val="5D0821B1"/>
    <w:rsid w:val="5D0A8085"/>
    <w:rsid w:val="5D1CCB17"/>
    <w:rsid w:val="5D5DC4B6"/>
    <w:rsid w:val="5D97B172"/>
    <w:rsid w:val="5DBF493C"/>
    <w:rsid w:val="5DC85A5E"/>
    <w:rsid w:val="5DD93A33"/>
    <w:rsid w:val="5DE068D4"/>
    <w:rsid w:val="5DF1D702"/>
    <w:rsid w:val="5DFA947E"/>
    <w:rsid w:val="5E4624DE"/>
    <w:rsid w:val="5E56F467"/>
    <w:rsid w:val="5E7FD20D"/>
    <w:rsid w:val="5EA35023"/>
    <w:rsid w:val="5EA7E4C4"/>
    <w:rsid w:val="5EDA5557"/>
    <w:rsid w:val="5EE7001B"/>
    <w:rsid w:val="5F115296"/>
    <w:rsid w:val="5F16AD72"/>
    <w:rsid w:val="5F16C843"/>
    <w:rsid w:val="5F1EE21C"/>
    <w:rsid w:val="5F4308AE"/>
    <w:rsid w:val="5F57304B"/>
    <w:rsid w:val="5F613CE5"/>
    <w:rsid w:val="5F6C1E34"/>
    <w:rsid w:val="5F82307F"/>
    <w:rsid w:val="5F955F81"/>
    <w:rsid w:val="5FA24D5D"/>
    <w:rsid w:val="5FBDEF20"/>
    <w:rsid w:val="5FE70EF8"/>
    <w:rsid w:val="60440730"/>
    <w:rsid w:val="60670660"/>
    <w:rsid w:val="60C68F73"/>
    <w:rsid w:val="60E50AFB"/>
    <w:rsid w:val="619258B6"/>
    <w:rsid w:val="61ABA0E0"/>
    <w:rsid w:val="61E485D9"/>
    <w:rsid w:val="61E65D54"/>
    <w:rsid w:val="61F70A24"/>
    <w:rsid w:val="61FF97E8"/>
    <w:rsid w:val="622253D1"/>
    <w:rsid w:val="6227F709"/>
    <w:rsid w:val="624FCFDB"/>
    <w:rsid w:val="625D7559"/>
    <w:rsid w:val="62862F29"/>
    <w:rsid w:val="629ED3AA"/>
    <w:rsid w:val="62A98888"/>
    <w:rsid w:val="62C6AFFD"/>
    <w:rsid w:val="62D2990C"/>
    <w:rsid w:val="62E4BC26"/>
    <w:rsid w:val="62FE63F9"/>
    <w:rsid w:val="6301A227"/>
    <w:rsid w:val="6354B25B"/>
    <w:rsid w:val="636F8107"/>
    <w:rsid w:val="637630D9"/>
    <w:rsid w:val="63AC9518"/>
    <w:rsid w:val="63B10837"/>
    <w:rsid w:val="63B75CC7"/>
    <w:rsid w:val="63EA3966"/>
    <w:rsid w:val="63F2533F"/>
    <w:rsid w:val="642E09FB"/>
    <w:rsid w:val="6447F029"/>
    <w:rsid w:val="645071BA"/>
    <w:rsid w:val="645CAB10"/>
    <w:rsid w:val="646073BC"/>
    <w:rsid w:val="64E6AFC0"/>
    <w:rsid w:val="64F13377"/>
    <w:rsid w:val="652F3D1C"/>
    <w:rsid w:val="657334CA"/>
    <w:rsid w:val="6587709D"/>
    <w:rsid w:val="658E91E4"/>
    <w:rsid w:val="65B53FAC"/>
    <w:rsid w:val="65D2B498"/>
    <w:rsid w:val="65D96090"/>
    <w:rsid w:val="65F7DD68"/>
    <w:rsid w:val="6614BB48"/>
    <w:rsid w:val="662AC442"/>
    <w:rsid w:val="662ACCF9"/>
    <w:rsid w:val="667C7C55"/>
    <w:rsid w:val="667EC528"/>
    <w:rsid w:val="6688BF50"/>
    <w:rsid w:val="66B9C3F1"/>
    <w:rsid w:val="66E435DA"/>
    <w:rsid w:val="6719663E"/>
    <w:rsid w:val="672340FE"/>
    <w:rsid w:val="67276AAA"/>
    <w:rsid w:val="672F469E"/>
    <w:rsid w:val="676F5DAA"/>
    <w:rsid w:val="676F8268"/>
    <w:rsid w:val="677530F1"/>
    <w:rsid w:val="679A5E67"/>
    <w:rsid w:val="67A7E953"/>
    <w:rsid w:val="67B386C4"/>
    <w:rsid w:val="67C5215A"/>
    <w:rsid w:val="67C803DD"/>
    <w:rsid w:val="67C81113"/>
    <w:rsid w:val="67D2A902"/>
    <w:rsid w:val="67D6E01C"/>
    <w:rsid w:val="67DAD2B7"/>
    <w:rsid w:val="67E871DD"/>
    <w:rsid w:val="67F68B09"/>
    <w:rsid w:val="685A48C3"/>
    <w:rsid w:val="689E4353"/>
    <w:rsid w:val="689F4FB9"/>
    <w:rsid w:val="68BDAA89"/>
    <w:rsid w:val="68D3987B"/>
    <w:rsid w:val="690DCD92"/>
    <w:rsid w:val="69114645"/>
    <w:rsid w:val="692D4661"/>
    <w:rsid w:val="694370EB"/>
    <w:rsid w:val="698CF7A2"/>
    <w:rsid w:val="6991F5B6"/>
    <w:rsid w:val="6992E2F8"/>
    <w:rsid w:val="699C59AC"/>
    <w:rsid w:val="69B23FC0"/>
    <w:rsid w:val="69E384E7"/>
    <w:rsid w:val="69F73A4B"/>
    <w:rsid w:val="6A335E54"/>
    <w:rsid w:val="6A46A5ED"/>
    <w:rsid w:val="6A658285"/>
    <w:rsid w:val="6A77EE77"/>
    <w:rsid w:val="6AED59BE"/>
    <w:rsid w:val="6B20598F"/>
    <w:rsid w:val="6B4D230C"/>
    <w:rsid w:val="6B56A74A"/>
    <w:rsid w:val="6B58C4AC"/>
    <w:rsid w:val="6B58D8D5"/>
    <w:rsid w:val="6B6074FB"/>
    <w:rsid w:val="6B718BE0"/>
    <w:rsid w:val="6BBC4938"/>
    <w:rsid w:val="6BBDF13C"/>
    <w:rsid w:val="6BE490B8"/>
    <w:rsid w:val="6BEE4458"/>
    <w:rsid w:val="6BFFC720"/>
    <w:rsid w:val="6C02B7C1"/>
    <w:rsid w:val="6C097A81"/>
    <w:rsid w:val="6C147F83"/>
    <w:rsid w:val="6C2904A8"/>
    <w:rsid w:val="6C717E5C"/>
    <w:rsid w:val="6C86F7E7"/>
    <w:rsid w:val="6CA7D4FB"/>
    <w:rsid w:val="6CBC0D4F"/>
    <w:rsid w:val="6CCD8ECB"/>
    <w:rsid w:val="6CDF0D40"/>
    <w:rsid w:val="6D463404"/>
    <w:rsid w:val="6D59C19D"/>
    <w:rsid w:val="6E4F11D3"/>
    <w:rsid w:val="6E9DCDAD"/>
    <w:rsid w:val="6EA3BAB9"/>
    <w:rsid w:val="6EE17F84"/>
    <w:rsid w:val="6F10EE5A"/>
    <w:rsid w:val="6F1A1710"/>
    <w:rsid w:val="6F2156ED"/>
    <w:rsid w:val="6F3C9F77"/>
    <w:rsid w:val="6F40748B"/>
    <w:rsid w:val="6F44A86C"/>
    <w:rsid w:val="6F6C8A49"/>
    <w:rsid w:val="6F7F4F12"/>
    <w:rsid w:val="6F9A3C81"/>
    <w:rsid w:val="6FAB8025"/>
    <w:rsid w:val="6FF383C2"/>
    <w:rsid w:val="700F8D24"/>
    <w:rsid w:val="701D3C4B"/>
    <w:rsid w:val="704D66B2"/>
    <w:rsid w:val="705DE209"/>
    <w:rsid w:val="70D46D95"/>
    <w:rsid w:val="70E66778"/>
    <w:rsid w:val="7171B1A7"/>
    <w:rsid w:val="7195E002"/>
    <w:rsid w:val="71CE195C"/>
    <w:rsid w:val="724969DF"/>
    <w:rsid w:val="725BBEAC"/>
    <w:rsid w:val="7261D7CB"/>
    <w:rsid w:val="72BF66F8"/>
    <w:rsid w:val="72E98794"/>
    <w:rsid w:val="730903F7"/>
    <w:rsid w:val="733F2765"/>
    <w:rsid w:val="7350019E"/>
    <w:rsid w:val="73825B3D"/>
    <w:rsid w:val="73AB0C39"/>
    <w:rsid w:val="73B17E0B"/>
    <w:rsid w:val="73DF374C"/>
    <w:rsid w:val="73E652CF"/>
    <w:rsid w:val="74140CEC"/>
    <w:rsid w:val="7494808A"/>
    <w:rsid w:val="74998729"/>
    <w:rsid w:val="749D5378"/>
    <w:rsid w:val="74B97B13"/>
    <w:rsid w:val="74EBD1FF"/>
    <w:rsid w:val="74EF7B75"/>
    <w:rsid w:val="74F2A959"/>
    <w:rsid w:val="75075741"/>
    <w:rsid w:val="7510323D"/>
    <w:rsid w:val="75239C3F"/>
    <w:rsid w:val="75285A42"/>
    <w:rsid w:val="7547BBDF"/>
    <w:rsid w:val="7551D6E6"/>
    <w:rsid w:val="7582DDF6"/>
    <w:rsid w:val="758A44C2"/>
    <w:rsid w:val="7597EDE8"/>
    <w:rsid w:val="75AFDD4D"/>
    <w:rsid w:val="75B3A1C0"/>
    <w:rsid w:val="75B66912"/>
    <w:rsid w:val="75C36D3C"/>
    <w:rsid w:val="75C9EF08"/>
    <w:rsid w:val="75FF29C8"/>
    <w:rsid w:val="7600EFA7"/>
    <w:rsid w:val="762CC2C7"/>
    <w:rsid w:val="763DFF61"/>
    <w:rsid w:val="764BB0BC"/>
    <w:rsid w:val="765A5A2E"/>
    <w:rsid w:val="765C2EE9"/>
    <w:rsid w:val="7687A260"/>
    <w:rsid w:val="76C7EB22"/>
    <w:rsid w:val="76FF431D"/>
    <w:rsid w:val="77240C2F"/>
    <w:rsid w:val="77537810"/>
    <w:rsid w:val="775E2308"/>
    <w:rsid w:val="777164B1"/>
    <w:rsid w:val="7776D5B5"/>
    <w:rsid w:val="7795A8DF"/>
    <w:rsid w:val="77D9CFC2"/>
    <w:rsid w:val="782372C1"/>
    <w:rsid w:val="7846E589"/>
    <w:rsid w:val="7889685A"/>
    <w:rsid w:val="78C13DD1"/>
    <w:rsid w:val="78E73A1A"/>
    <w:rsid w:val="7905F56E"/>
    <w:rsid w:val="79981B96"/>
    <w:rsid w:val="799E04C8"/>
    <w:rsid w:val="79B682C2"/>
    <w:rsid w:val="79C33CFD"/>
    <w:rsid w:val="79C79146"/>
    <w:rsid w:val="79F8A3F7"/>
    <w:rsid w:val="7A14A13D"/>
    <w:rsid w:val="7A1E7C55"/>
    <w:rsid w:val="7A849FB8"/>
    <w:rsid w:val="7AB47E49"/>
    <w:rsid w:val="7AD18A30"/>
    <w:rsid w:val="7B05C9B8"/>
    <w:rsid w:val="7B064A0D"/>
    <w:rsid w:val="7B4A394A"/>
    <w:rsid w:val="7B65B90A"/>
    <w:rsid w:val="7B7E864B"/>
    <w:rsid w:val="7BBECB61"/>
    <w:rsid w:val="7BEB7F5C"/>
    <w:rsid w:val="7C090144"/>
    <w:rsid w:val="7C5205D1"/>
    <w:rsid w:val="7C78E2D6"/>
    <w:rsid w:val="7CAAAF40"/>
    <w:rsid w:val="7CF7BBC9"/>
    <w:rsid w:val="7CF99BD3"/>
    <w:rsid w:val="7D0E9455"/>
    <w:rsid w:val="7D49D709"/>
    <w:rsid w:val="7D6E84A1"/>
    <w:rsid w:val="7D72BA10"/>
    <w:rsid w:val="7DAC7892"/>
    <w:rsid w:val="7DAEF6BE"/>
    <w:rsid w:val="7DB6820F"/>
    <w:rsid w:val="7DD9B1CD"/>
    <w:rsid w:val="7DE03FAD"/>
    <w:rsid w:val="7E120B51"/>
    <w:rsid w:val="7E236381"/>
    <w:rsid w:val="7E9BC6E8"/>
    <w:rsid w:val="7E9F912E"/>
    <w:rsid w:val="7F4CDB53"/>
    <w:rsid w:val="7F63AB6A"/>
    <w:rsid w:val="7FA7B46A"/>
    <w:rsid w:val="7FBEDFFD"/>
    <w:rsid w:val="7FD26898"/>
    <w:rsid w:val="7FD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9ADD"/>
  <w15:docId w15:val="{BEF61CC9-8A7E-4185-B34B-82472448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hAnsi="Palatino Linotype" w:eastAsia="Palatino Linotype" w:cs="Palatino Linotype"/>
        <w:sz w:val="22"/>
        <w:szCs w:val="22"/>
        <w:lang w:val="pl-PL" w:eastAsia="en-US" w:bidi="ar-SA"/>
      </w:rPr>
    </w:rPrDefault>
    <w:pPrDefault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Pr>
      <w:rFonts w:ascii="Arial" w:hAnsi="Arial" w:eastAsia="Arial" w:cs="Arial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rPr>
      <w:rFonts w:ascii="Arial" w:hAnsi="Arial" w:eastAsia="Arial" w:cs="Arial"/>
      <w:sz w:val="34"/>
    </w:rPr>
  </w:style>
  <w:style w:type="character" w:styleId="Nagwek3Znak" w:customStyle="1">
    <w:name w:val="Nagłówek 3 Znak"/>
    <w:basedOn w:val="Domylnaczcionkaakapitu"/>
    <w:link w:val="Nagwek3"/>
    <w:uiPriority w:val="9"/>
    <w:rPr>
      <w:rFonts w:ascii="Arial" w:hAnsi="Arial" w:eastAsia="Arial" w:cs="Arial"/>
      <w:sz w:val="30"/>
      <w:szCs w:val="30"/>
    </w:rPr>
  </w:style>
  <w:style w:type="character" w:styleId="Nagwek4Znak" w:customStyle="1">
    <w:name w:val="Nagłówek 4 Znak"/>
    <w:basedOn w:val="Domylnaczcionkaakapitu"/>
    <w:link w:val="Nagwek4"/>
    <w:uiPriority w:val="9"/>
    <w:rPr>
      <w:rFonts w:ascii="Arial" w:hAnsi="Arial" w:eastAsia="Arial" w:cs="Arial"/>
      <w:b/>
      <w:bCs/>
      <w:sz w:val="26"/>
      <w:szCs w:val="26"/>
    </w:rPr>
  </w:style>
  <w:style w:type="character" w:styleId="Nagwek5Znak" w:customStyle="1">
    <w:name w:val="Nagłówek 5 Znak"/>
    <w:basedOn w:val="Domylnaczcionkaakapitu"/>
    <w:link w:val="Nagwek5"/>
    <w:uiPriority w:val="9"/>
    <w:rPr>
      <w:rFonts w:ascii="Arial" w:hAnsi="Arial" w:eastAsia="Arial" w:cs="Arial"/>
      <w:b/>
      <w:bCs/>
      <w:sz w:val="24"/>
      <w:szCs w:val="24"/>
    </w:rPr>
  </w:style>
  <w:style w:type="character" w:styleId="Nagwek6Znak" w:customStyle="1">
    <w:name w:val="Nagłówek 6 Znak"/>
    <w:basedOn w:val="Domylnaczcionkaakapitu"/>
    <w:link w:val="Nagwek6"/>
    <w:uiPriority w:val="9"/>
    <w:rPr>
      <w:rFonts w:ascii="Arial" w:hAnsi="Arial" w:eastAsia="Arial" w:cs="Arial"/>
      <w:b/>
      <w:bCs/>
      <w:sz w:val="22"/>
      <w:szCs w:val="22"/>
    </w:rPr>
  </w:style>
  <w:style w:type="character" w:styleId="Nagwek7Znak" w:customStyle="1">
    <w:name w:val="Nagłówek 7 Znak"/>
    <w:basedOn w:val="Domylnaczcionkaakapitu"/>
    <w:link w:val="Nagwek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Nagwek8Znak" w:customStyle="1">
    <w:name w:val="Nagłówek 8 Znak"/>
    <w:basedOn w:val="Domylnaczcionkaakapitu"/>
    <w:link w:val="Nagwek8"/>
    <w:uiPriority w:val="9"/>
    <w:rPr>
      <w:rFonts w:ascii="Arial" w:hAnsi="Arial" w:eastAsia="Arial" w:cs="Arial"/>
      <w:i/>
      <w:iCs/>
      <w:sz w:val="22"/>
      <w:szCs w:val="22"/>
    </w:rPr>
  </w:style>
  <w:style w:type="character" w:styleId="Nagwek9Znak" w:customStyle="1">
    <w:name w:val="Nagłówek 9 Znak"/>
    <w:basedOn w:val="Domylnaczcionkaakapitu"/>
    <w:link w:val="Nagwek9"/>
    <w:uiPriority w:val="9"/>
    <w:rPr>
      <w:rFonts w:ascii="Arial" w:hAnsi="Arial" w:eastAsia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TytuZnak" w:customStyle="1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styleId="CytatZnak" w:customStyle="1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CytatintensywnyZnak" w:customStyle="1">
    <w:name w:val="Cytat intensywny Znak"/>
    <w:link w:val="Cytatintensywny"/>
    <w:uiPriority w:val="30"/>
    <w:rPr>
      <w:i/>
    </w:rPr>
  </w:style>
  <w:style w:type="character" w:styleId="HeaderChar" w:customStyle="1">
    <w:name w:val="Header Char"/>
    <w:basedOn w:val="Domylnaczcionkaakapitu"/>
    <w:uiPriority w:val="99"/>
  </w:style>
  <w:style w:type="character" w:styleId="FooterChar" w:customStyle="1">
    <w:name w:val="Footer Char"/>
    <w:basedOn w:val="Domylnaczcionkaakapitu"/>
    <w:uiPriority w:val="99"/>
  </w:style>
  <w:style w:type="table" w:styleId="Lined" w:customStyle="1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Lined-Accent1" w:customStyle="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styleId="Lined-Accent2" w:customStyle="1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styleId="Lined-Accent3" w:customStyle="1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styleId="Lined-Accent4" w:customStyle="1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styleId="Lined-Accent5" w:customStyle="1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styleId="Lined-Accent6" w:customStyle="1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styleId="Bordered" w:customStyle="1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styleId="Bordered-Accent1" w:customStyle="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styleId="Bordered-Accent2" w:customStyle="1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styleId="Bordered-Accent3" w:customStyle="1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styleId="Bordered-Accent4" w:customStyle="1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styleId="Bordered-Accent5" w:customStyle="1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styleId="Bordered-Accent6" w:customStyle="1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styleId="BorderedLined" w:customStyle="1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BorderedLined-Accent1" w:customStyle="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styleId="BorderedLined-Accent2" w:customStyle="1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styleId="BorderedLined-Accent3" w:customStyle="1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styleId="BorderedLined-Accent4" w:customStyle="1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styleId="BorderedLined-Accent5" w:customStyle="1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styleId="BorderedLined-Accent6" w:customStyle="1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styleId="TekstprzypisudolnegoZnak" w:customStyle="1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dstawowyakapitowy" w:customStyle="1">
    <w:name w:val="[Podstawowy akapitowy]"/>
    <w:basedOn w:val="Normalny"/>
    <w:uiPriority w:val="99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Standard" w:customStyle="1">
    <w:name w:val="Standard"/>
    <w:pPr>
      <w:widowControl w:val="0"/>
      <w:spacing w:after="0" w:line="240" w:lineRule="auto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A8251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C32E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ierozpoznanawzmianka4" w:customStyle="1">
    <w:name w:val="Nierozpoznana wzmianka4"/>
    <w:basedOn w:val="Domylnaczcionkaakapitu"/>
    <w:uiPriority w:val="99"/>
    <w:semiHidden/>
    <w:unhideWhenUsed/>
    <w:rsid w:val="003D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us.edu.pl/pracownik/sprawy-dydaktyczne/system-motywacyjny-w-dydaktyce-akademickiej-smoda/doskonaly-kierunek-smoda/" TargetMode="External" Id="rId13" /><Relationship Type="http://schemas.openxmlformats.org/officeDocument/2006/relationships/chart" Target="charts/chart2.xm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hyperlink" Target="https://us.edu.pl/pracownik/sprawy-dydaktyczne/pion-ksztalcenia/ogolnoakademicka-oferta-dydaktyczna/ood-dokumenty/" TargetMode="External" Id="rId12" /><Relationship Type="http://schemas.openxmlformats.org/officeDocument/2006/relationships/chart" Target="charts/chart1.xml" Id="rId17" /><Relationship Type="http://schemas.openxmlformats.org/officeDocument/2006/relationships/customXml" Target="../customXml/item2.xml" Id="rId2" /><Relationship Type="http://schemas.openxmlformats.org/officeDocument/2006/relationships/hyperlink" Target="https://pp.us.edu.pl/" TargetMode="External" Id="rId16" /><Relationship Type="http://schemas.openxmlformats.org/officeDocument/2006/relationships/chart" Target="charts/chart4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s.edu.pl/pracownik/sprawy-dydaktyczne/pion-ksztalcenia/ogolnoakademicka-oferta-dydaktyczna/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us.edu.pl/pracownik/sprawy-dydaktyczne/system-motywacyjny-w-dydaktyce-akademickiej-smoda/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us.edu.pl/pracownik/sprawy-dydaktyczne/pion-ksztalcenia/ogolnoakademicka-oferta-dydaktyczna/rada-ood/" TargetMode="External" Id="rId10" /><Relationship Type="http://schemas.openxmlformats.org/officeDocument/2006/relationships/chart" Target="charts/chart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us.edu.pl/pracownik/sprawy-dydaktyczne/system-motywacyjny-w-dydaktyce-akademickiej-smoda/wspolmyslenie-wspoldzialanie-smoda/" TargetMode="External" Id="rId14" /><Relationship Type="http://schemas.openxmlformats.org/officeDocument/2006/relationships/footer" Target="footer1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Liczba ocen wystawionych w pierwszym terminie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Arkusz1!$B$8</c:f>
              <c:strCache>
                <c:ptCount val="1"/>
                <c:pt idx="0">
                  <c:v>Liczba ocen wystawionych w drugim terminie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3C1-4F54-A9B7-C933EA3D48D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3C1-4F54-A9B7-C933EA3D48D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3C1-4F54-A9B7-C933EA3D48D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Arkusz1!$A$9:$A$11</c:f>
              <c:strCache>
                <c:ptCount val="3"/>
                <c:pt idx="0">
                  <c:v>2020/2021</c:v>
                </c:pt>
                <c:pt idx="1">
                  <c:v>2021/2022</c:v>
                </c:pt>
                <c:pt idx="2">
                  <c:v>2022/2023</c:v>
                </c:pt>
              </c:strCache>
            </c:strRef>
          </c:cat>
          <c:val>
            <c:numRef>
              <c:f>Arkusz1!$B$9:$B$11</c:f>
              <c:numCache>
                <c:formatCode>General</c:formatCode>
                <c:ptCount val="3"/>
                <c:pt idx="0">
                  <c:v>537766</c:v>
                </c:pt>
                <c:pt idx="1">
                  <c:v>500901</c:v>
                </c:pt>
                <c:pt idx="2">
                  <c:v>479956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C1-4F54-A9B7-C933EA3D48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50400"/>
        <c:axId val="38951936"/>
      </c:barChart>
      <c:catAx>
        <c:axId val="3895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51936"/>
        <c:crosses val="autoZero"/>
        <c:auto val="1"/>
        <c:lblAlgn val="ctr"/>
        <c:lblOffset val="100"/>
        <c:noMultiLvlLbl val="0"/>
      </c:catAx>
      <c:valAx>
        <c:axId val="3895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95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Arkusz1!$B$8</c:f>
              <c:strCache>
                <c:ptCount val="1"/>
                <c:pt idx="0">
                  <c:v>Liczba ocen wystawionych w drugim terminie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C36-4618-90CF-9949E9C8183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C36-4618-90CF-9949E9C8183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C36-4618-90CF-9949E9C8183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Arkusz1!$A$9:$A$11</c:f>
              <c:strCache>
                <c:ptCount val="3"/>
                <c:pt idx="0">
                  <c:v>2020/2021</c:v>
                </c:pt>
                <c:pt idx="1">
                  <c:v>2021/2022</c:v>
                </c:pt>
                <c:pt idx="2">
                  <c:v>2022/2023</c:v>
                </c:pt>
              </c:strCache>
            </c:strRef>
          </c:cat>
          <c:val>
            <c:numRef>
              <c:f>Arkusz1!$B$9:$B$11</c:f>
              <c:numCache>
                <c:formatCode>General</c:formatCode>
                <c:ptCount val="3"/>
                <c:pt idx="0">
                  <c:v>18608</c:v>
                </c:pt>
                <c:pt idx="1">
                  <c:v>19240</c:v>
                </c:pt>
                <c:pt idx="2">
                  <c:v>20628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36-4618-90CF-9949E9C81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50400"/>
        <c:axId val="38951936"/>
      </c:barChart>
      <c:catAx>
        <c:axId val="3895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51936"/>
        <c:crosses val="autoZero"/>
        <c:auto val="1"/>
        <c:lblAlgn val="ctr"/>
        <c:lblOffset val="100"/>
        <c:noMultiLvlLbl val="0"/>
      </c:catAx>
      <c:valAx>
        <c:axId val="3895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95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Arkusz1!$B$3</c:f>
              <c:strCache>
                <c:ptCount val="1"/>
                <c:pt idx="0">
                  <c:v>I termin</c:v>
                </c:pt>
              </c:strCache>
            </c:strRef>
          </c:tx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Arkusz1!$A$4:$A$7</c:f>
              <c:strCache>
                <c:ptCount val="4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  <c:pt idx="3">
                  <c:v>2022/2023</c:v>
                </c:pt>
              </c:strCache>
            </c:strRef>
          </c:cat>
          <c:val>
            <c:numRef>
              <c:f>Arkusz1!$B$4:$B$7</c:f>
              <c:numCache>
                <c:formatCode>0.00%</c:formatCode>
                <c:ptCount val="4"/>
                <c:pt idx="0">
                  <c:v>0.94879999999999998</c:v>
                </c:pt>
                <c:pt idx="1">
                  <c:v>0.95760000000000001</c:v>
                </c:pt>
                <c:pt idx="2">
                  <c:v>0.96740000000000004</c:v>
                </c:pt>
                <c:pt idx="3">
                  <c:v>0.94399999999999995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6-4CCF-A3FC-30C1428545A3}"/>
            </c:ext>
          </c:extLst>
        </c:ser>
        <c:ser>
          <c:idx val="1"/>
          <c:order val="1"/>
          <c:tx>
            <c:strRef>
              <c:f>Arkusz1!$C$3</c:f>
              <c:strCache>
                <c:ptCount val="1"/>
                <c:pt idx="0">
                  <c:v>II termin</c:v>
                </c:pt>
              </c:strCache>
            </c:strRef>
          </c:tx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Arkusz1!$A$4:$A$7</c:f>
              <c:strCache>
                <c:ptCount val="4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  <c:pt idx="3">
                  <c:v>2022/2023</c:v>
                </c:pt>
              </c:strCache>
            </c:strRef>
          </c:cat>
          <c:val>
            <c:numRef>
              <c:f>Arkusz1!$C$4:$C$7</c:f>
              <c:numCache>
                <c:formatCode>0.00%</c:formatCode>
                <c:ptCount val="4"/>
                <c:pt idx="0">
                  <c:v>0.81689999999999996</c:v>
                </c:pt>
                <c:pt idx="1">
                  <c:v>0.76300000000000001</c:v>
                </c:pt>
                <c:pt idx="2">
                  <c:v>0.75149999999999995</c:v>
                </c:pt>
                <c:pt idx="3">
                  <c:v>0.75949999999999995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A6-4CCF-A3FC-30C142854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77920"/>
        <c:axId val="38979456"/>
      </c:barChart>
      <c:catAx>
        <c:axId val="38977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79456"/>
        <c:crosses val="autoZero"/>
        <c:auto val="1"/>
        <c:lblAlgn val="ctr"/>
        <c:lblOffset val="100"/>
        <c:noMultiLvlLbl val="0"/>
      </c:catAx>
      <c:valAx>
        <c:axId val="389794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97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Procent modułów, z których wszystkie oceny były takie same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Arkusz1!$B$8</c:f>
              <c:strCache>
                <c:ptCount val="1"/>
                <c:pt idx="0">
                  <c:v>Liczba ocen wystawionych w drugim terminie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3B9-4543-963A-449D44E8137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3B9-4543-963A-449D44E8137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3B9-4543-963A-449D44E813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Arkusz1!$A$9:$A$11</c:f>
              <c:strCache>
                <c:ptCount val="3"/>
                <c:pt idx="0">
                  <c:v>2020/2021</c:v>
                </c:pt>
                <c:pt idx="1">
                  <c:v>2021/2022</c:v>
                </c:pt>
                <c:pt idx="2">
                  <c:v>2022/2023</c:v>
                </c:pt>
              </c:strCache>
            </c:strRef>
          </c:cat>
          <c:val>
            <c:numRef>
              <c:f>Arkusz1!$B$9:$B$11</c:f>
              <c:numCache>
                <c:formatCode>0%</c:formatCode>
                <c:ptCount val="3"/>
                <c:pt idx="0" formatCode="0.00%">
                  <c:v>0.1542</c:v>
                </c:pt>
                <c:pt idx="1">
                  <c:v>0.15</c:v>
                </c:pt>
                <c:pt idx="2" formatCode="0.00%">
                  <c:v>0.16120000000000001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B9-4543-963A-449D44E81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950400"/>
        <c:axId val="38951936"/>
      </c:barChart>
      <c:catAx>
        <c:axId val="3895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51936"/>
        <c:crosses val="autoZero"/>
        <c:auto val="1"/>
        <c:lblAlgn val="ctr"/>
        <c:lblOffset val="100"/>
        <c:noMultiLvlLbl val="0"/>
      </c:catAx>
      <c:valAx>
        <c:axId val="389519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895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Arial"/>
        <a:cs typeface="Arial"/>
      </a:majorFont>
      <a:minorFont>
        <a:latin typeface="Palatino Linotype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adf319-80da-4feb-a1cd-f7dd4a029533" xsi:nil="true"/>
    <lcf76f155ced4ddcb4097134ff3c332f xmlns="068dddd9-2a8a-433d-a914-5c12a16e4e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823B9B80A824BA1ED9565859680C8" ma:contentTypeVersion="18" ma:contentTypeDescription="Create a new document." ma:contentTypeScope="" ma:versionID="a4d8ea90ecf8548d3216984970e5a91b">
  <xsd:schema xmlns:xsd="http://www.w3.org/2001/XMLSchema" xmlns:xs="http://www.w3.org/2001/XMLSchema" xmlns:p="http://schemas.microsoft.com/office/2006/metadata/properties" xmlns:ns2="068dddd9-2a8a-433d-a914-5c12a16e4e8b" xmlns:ns3="5cadf319-80da-4feb-a1cd-f7dd4a029533" targetNamespace="http://schemas.microsoft.com/office/2006/metadata/properties" ma:root="true" ma:fieldsID="c23a8b63e7f1eb176d085973a2b87ef9" ns2:_="" ns3:_="">
    <xsd:import namespace="068dddd9-2a8a-433d-a914-5c12a16e4e8b"/>
    <xsd:import namespace="5cadf319-80da-4feb-a1cd-f7dd4a029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ddd9-2a8a-433d-a914-5c12a16e4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f319-80da-4feb-a1cd-f7dd4a02953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4603ac8-bd8c-4c3c-b9a3-e6640d886c66}" ma:internalName="TaxCatchAll" ma:showField="CatchAllData" ma:web="5cadf319-80da-4feb-a1cd-f7dd4a029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48872-80F6-4634-8CA8-63CF335B2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50FAB-1D92-4332-BFB7-D40E936A19C3}">
  <ds:schemaRefs>
    <ds:schemaRef ds:uri="http://schemas.microsoft.com/office/2006/metadata/properties"/>
    <ds:schemaRef ds:uri="http://schemas.microsoft.com/office/infopath/2007/PartnerControls"/>
    <ds:schemaRef ds:uri="5cadf319-80da-4feb-a1cd-f7dd4a029533"/>
    <ds:schemaRef ds:uri="068dddd9-2a8a-433d-a914-5c12a16e4e8b"/>
  </ds:schemaRefs>
</ds:datastoreItem>
</file>

<file path=customXml/itemProps3.xml><?xml version="1.0" encoding="utf-8"?>
<ds:datastoreItem xmlns:ds="http://schemas.openxmlformats.org/officeDocument/2006/customXml" ds:itemID="{F1D31CB3-69E8-437B-BCA2-339FC80297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Uniwersystet Śląski w Katowicach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 Sikora</cp:lastModifiedBy>
  <cp:revision>5</cp:revision>
  <dcterms:created xsi:type="dcterms:W3CDTF">2024-03-04T15:13:00Z</dcterms:created>
  <dcterms:modified xsi:type="dcterms:W3CDTF">2024-03-06T11:16:56Z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0x0101004F1823B9B80A824BA1ED9565859680C8</vt:lpwstr>
  </property>
  <property fmtid="{D5CDD505-2E9C-101B-9397-08002B2CF9AE}" pid="3" name="GrammarlyDocumentId">
    <vt:lpwstr>e3af7e4943a0ed4e7c065bd6e8d01500feddcdcd141efbe62376e95fa9924d86</vt:lpwstr>
  </property>
  <property fmtid="{D5CDD505-2E9C-101B-9397-08002B2CF9AE}" pid="4" name="MediaServiceImageTags">
    <vt:lpwstr/>
  </property>
</Properties>
</file>