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8F" w:rsidRDefault="0001758F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01758F" w:rsidRDefault="00154473">
      <w:p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Poradnik dla WKR – wnioski (podania); odwołania kandydatów</w:t>
      </w:r>
    </w:p>
    <w:p w:rsidR="0001758F" w:rsidRDefault="00154473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W toku rekrutacji na studia kandydaci mogą składać wnioski (podania), w związku ze swoimi zgłoszeniami rekrutacyjnymi.</w:t>
      </w:r>
    </w:p>
    <w:p w:rsidR="0001758F" w:rsidRDefault="0015447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Poniżej najczęściej składane wnioski z objaśnieniem jak WKR powinna zareagować. </w:t>
      </w:r>
    </w:p>
    <w:p w:rsidR="0001758F" w:rsidRDefault="00154473">
      <w:pPr>
        <w:jc w:val="both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W razie jakichkolwiek wątpliwości, uprasza się o wcześniejsze skonsultowanie się z Działem Kształcenia!</w:t>
      </w:r>
    </w:p>
    <w:p w:rsidR="0001758F" w:rsidRDefault="00154473">
      <w:pPr>
        <w:jc w:val="both"/>
        <w:rPr>
          <w:rFonts w:ascii="Cambria" w:hAnsi="Cambria"/>
        </w:rPr>
      </w:pPr>
      <w:r>
        <w:rPr>
          <w:rFonts w:ascii="Cambria" w:hAnsi="Cambria"/>
          <w:b/>
          <w:color w:val="FF0000"/>
        </w:rPr>
        <w:t>Uwaga:</w:t>
      </w:r>
      <w:r>
        <w:rPr>
          <w:rFonts w:ascii="Cambria" w:hAnsi="Cambria"/>
          <w:color w:val="FF0000"/>
        </w:rPr>
        <w:t xml:space="preserve">  </w:t>
      </w:r>
      <w:r>
        <w:rPr>
          <w:rFonts w:ascii="Cambria" w:hAnsi="Cambria"/>
        </w:rPr>
        <w:t xml:space="preserve">Przygotowane w systemie IRK formularze wzorów decyzji są standardowe, a ze względu na to, iż każdy z przypadków odwołania się przez kandydata jest indywidualny i będzie wymagać innego uzasadnienia decyzji, dlatego w polu </w:t>
      </w:r>
      <w:r>
        <w:rPr>
          <w:rFonts w:ascii="Cambria" w:hAnsi="Cambria"/>
          <w:b/>
          <w:i/>
        </w:rPr>
        <w:t>UZASADNIENIE</w:t>
      </w:r>
      <w:r>
        <w:rPr>
          <w:rFonts w:ascii="Cambria" w:hAnsi="Cambria"/>
        </w:rPr>
        <w:t xml:space="preserve"> należy każdorazowo wprowadzić przy generowaniu decyzji w systemie IRK  treść uzasadnienia. W przypadku wątpliwości co należy wpisać, również prosimy o kontakt Działem Kształcenia!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758F">
        <w:tc>
          <w:tcPr>
            <w:tcW w:w="13994" w:type="dxa"/>
            <w:shd w:val="clear" w:color="auto" w:fill="BFBFBF" w:themeFill="background1" w:themeFillShade="BF"/>
          </w:tcPr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</w:p>
          <w:p w:rsidR="0001758F" w:rsidRDefault="0015447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b/>
                <w:i/>
                <w:iCs/>
                <w:color w:val="0070C0"/>
              </w:rPr>
            </w:pPr>
            <w:r>
              <w:rPr>
                <w:rFonts w:ascii="Cambria" w:hAnsi="Cambria"/>
                <w:b/>
                <w:i/>
                <w:iCs/>
                <w:color w:val="0070C0"/>
              </w:rPr>
              <w:t xml:space="preserve">Wniosek o uwzględnienie podwyższonego wyniku matury </w:t>
            </w:r>
          </w:p>
          <w:p w:rsidR="004E1761" w:rsidRDefault="004E1761" w:rsidP="004E1761">
            <w:pPr>
              <w:spacing w:after="0" w:line="240" w:lineRule="auto"/>
              <w:ind w:left="720"/>
              <w:jc w:val="both"/>
              <w:rPr>
                <w:rFonts w:ascii="Cambria" w:hAnsi="Cambria"/>
                <w:b/>
                <w:i/>
                <w:iCs/>
                <w:color w:val="0070C0"/>
              </w:rPr>
            </w:pPr>
          </w:p>
          <w:p w:rsidR="004E1761" w:rsidRPr="004E1761" w:rsidRDefault="004E1761" w:rsidP="004E1761">
            <w:pPr>
              <w:spacing w:after="0" w:line="240" w:lineRule="auto"/>
              <w:ind w:left="720"/>
              <w:jc w:val="both"/>
              <w:rPr>
                <w:rFonts w:ascii="Cambria" w:hAnsi="Cambria"/>
                <w:b/>
                <w:i/>
                <w:iCs/>
                <w:color w:val="0070C0"/>
              </w:rPr>
            </w:pPr>
            <w:r w:rsidRPr="004E1761">
              <w:rPr>
                <w:b/>
              </w:rPr>
              <w:t xml:space="preserve">Szablon decyzji w IRK – </w:t>
            </w:r>
            <w:r w:rsidRPr="004E1761">
              <w:rPr>
                <w:b/>
                <w:i/>
              </w:rPr>
              <w:t>„nowa decyzja WKR z powodu weryfikacji przez OKE”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01758F">
        <w:tc>
          <w:tcPr>
            <w:tcW w:w="13994" w:type="dxa"/>
          </w:tcPr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Kandydaci, których wynik egzaminu maturalnego został podwyższony po weryfikacji przez Okręgową Komisję Egzaminacyjną lub po uwzględnieniu odwołania przez Kolegium Arbitrażu Egzaminacyjnego mogą złożyć - wniosek wraz z kopią nowego świadectwa maturalnego z podwyższonym wynikiem lub zaświadczeniem z OKE o podjęciu decyzji o podwyższeniu wyniku.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Termin złożenia</w:t>
            </w:r>
            <w:r>
              <w:rPr>
                <w:rFonts w:ascii="Cambria" w:hAnsi="Cambria"/>
              </w:rPr>
              <w:t>: do 30 września</w:t>
            </w:r>
            <w:r w:rsidR="007830D2">
              <w:rPr>
                <w:rFonts w:ascii="Cambria" w:hAnsi="Cambria"/>
              </w:rPr>
              <w:t xml:space="preserve"> b</w:t>
            </w:r>
            <w:r>
              <w:rPr>
                <w:rFonts w:ascii="Cambria" w:hAnsi="Cambria"/>
              </w:rPr>
              <w:t>r.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Sposób załatwienia sprawy:</w:t>
            </w:r>
            <w:r>
              <w:rPr>
                <w:rFonts w:ascii="Cambria" w:hAnsi="Cambria"/>
              </w:rPr>
              <w:t xml:space="preserve"> Na podstawie przesłanych dokumentów WKR sprawdza czy na koncie IRK kandydata znajduje się właściwy wynik z matury, zgodny z nowym świadectwem; dalej, ponownie oblicza wynik z postępowania kwalifikacyjnego. Jeżeli nowy wynik pozwala na zakwalifikowanie kandydata do przyjęcia, WKR dokonuje stosownej korekty w systemie IRK i kontaktuje się z kandydatem celem wyznaczenia terminu wpisu na studia.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1758F" w:rsidRDefault="00154473">
            <w:pPr>
              <w:snapToGrid w:val="0"/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Ważne:</w:t>
            </w:r>
            <w:r>
              <w:rPr>
                <w:rFonts w:ascii="Cambria" w:hAnsi="Cambria"/>
              </w:rPr>
              <w:t xml:space="preserve"> jeżeli WKR wydała już kandydatowi decyzję administracyjną kończącą postępowanie rekrutacyjne i dopiero wówczas kandydat złożył wniosek, o którym mowa powyżej, WKR wydaje nową decyzję, w której uchyla wcześniejszą decyzję. </w:t>
            </w:r>
          </w:p>
          <w:p w:rsidR="0001758F" w:rsidRDefault="00154473">
            <w:pPr>
              <w:snapToGrid w:val="0"/>
              <w:spacing w:after="0" w:line="240" w:lineRule="auto"/>
              <w:jc w:val="both"/>
              <w:rPr>
                <w:rFonts w:ascii="Cambria" w:hAnsi="Cambria"/>
                <w:i/>
                <w:color w:val="FF0000"/>
              </w:rPr>
            </w:pPr>
            <w:r>
              <w:rPr>
                <w:rFonts w:ascii="Cambria" w:hAnsi="Cambria"/>
                <w:i/>
                <w:color w:val="FF0000"/>
              </w:rPr>
              <w:t xml:space="preserve">*Przykładowy wzór decyzji zamieszczono poniżej. Decyzja jest zamieszczona i do wygenerowania  w systemie IRK. 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01758F">
        <w:tc>
          <w:tcPr>
            <w:tcW w:w="13994" w:type="dxa"/>
            <w:shd w:val="clear" w:color="auto" w:fill="BFBFBF" w:themeFill="background1" w:themeFillShade="BF"/>
          </w:tcPr>
          <w:p w:rsidR="0001758F" w:rsidRDefault="0001758F">
            <w:pPr>
              <w:spacing w:after="0" w:line="240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</w:p>
          <w:p w:rsidR="0001758F" w:rsidRDefault="001544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iCs/>
                <w:color w:val="0070C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70C0"/>
              </w:rPr>
              <w:t xml:space="preserve">Wniosek o przywrócenie terminu wpisu na studia </w:t>
            </w:r>
          </w:p>
          <w:p w:rsidR="004E1761" w:rsidRDefault="004E1761" w:rsidP="004E1761">
            <w:pPr>
              <w:spacing w:after="0" w:line="240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color w:val="0070C0"/>
              </w:rPr>
            </w:pPr>
          </w:p>
          <w:p w:rsidR="004E1761" w:rsidRPr="004E1761" w:rsidRDefault="004E1761" w:rsidP="004E1761">
            <w:pPr>
              <w:spacing w:after="0" w:line="240" w:lineRule="auto"/>
              <w:ind w:left="731"/>
              <w:jc w:val="both"/>
              <w:rPr>
                <w:rFonts w:ascii="Cambria" w:hAnsi="Cambria"/>
                <w:b/>
                <w:bCs/>
                <w:i/>
                <w:iCs/>
                <w:color w:val="0070C0"/>
              </w:rPr>
            </w:pPr>
            <w:r w:rsidRPr="004E1761">
              <w:rPr>
                <w:b/>
              </w:rPr>
              <w:t xml:space="preserve">Szablon decyzji w IRK – </w:t>
            </w:r>
            <w:r w:rsidRPr="004E1761">
              <w:rPr>
                <w:b/>
                <w:i/>
              </w:rPr>
              <w:t>„nowa decyzja WKR z powodu przywrócenia terminu wpisu”</w:t>
            </w:r>
          </w:p>
          <w:p w:rsidR="0001758F" w:rsidRDefault="0001758F">
            <w:pPr>
              <w:spacing w:after="0" w:line="240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</w:p>
        </w:tc>
      </w:tr>
      <w:tr w:rsidR="0001758F">
        <w:tc>
          <w:tcPr>
            <w:tcW w:w="13994" w:type="dxa"/>
          </w:tcPr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Kandydaci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którzy zostali zakwalifikowani do przyjęcia na studia i wyznaczono im termin wpisu, ale z ważnego powodu (osobistego lub losowego) nie zdążyli dokonać go w tym terminie mogą złożyć wniosek o przywrócenie terminu wpisu na studia.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Sposób załatwienia sprawy: </w:t>
            </w:r>
            <w:r>
              <w:rPr>
                <w:rFonts w:ascii="Cambria" w:hAnsi="Cambria"/>
              </w:rPr>
              <w:t xml:space="preserve">Rozpatrzenie sprawy leży w gestii WKR. </w:t>
            </w: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Jeżeli decyzja WKR jest pozytywna, WKR kontaktuje się z kandydatem celem wyznaczenia terminu wpisu na studia.</w:t>
            </w: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Jeżeli decyzja jest negatywna, kandydat po otrzymaniu decyzji administracyjnej o odmowie przyjęcia na studia kończącej postępowanie może skorzystać z możliwości złożenia za pośrednictwem WKR odwołania do Rektora. 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Ważne:</w:t>
            </w:r>
            <w:r>
              <w:rPr>
                <w:rFonts w:ascii="Cambria" w:hAnsi="Cambria"/>
              </w:rPr>
              <w:t xml:space="preserve"> jeżeli WKR wydała już kandydatowi decyzję o odmowie przyjęcia na studia kończącą postępowanie rekrutacyjne i dopiero wówczas kandydat złożył wniosek, o którym mowa powyżej, WKR w przypadku pozytywnego rozpatrzenia wniosku wydaje nową decyzję, w której uchyla wcześniejszą decyzję.</w:t>
            </w: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  <w:color w:val="FF0000"/>
              </w:rPr>
              <w:lastRenderedPageBreak/>
              <w:t>**Przykładowy wzór decyzji zamieszczono poniżej. Decyzja jest zamieszczona i do wygenerowania  w systemie IRK</w:t>
            </w:r>
            <w:r>
              <w:rPr>
                <w:rFonts w:ascii="Cambria" w:hAnsi="Cambria"/>
                <w:color w:val="FF0000"/>
              </w:rPr>
              <w:t>.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Natomiast w przypadku negatywnego rozpatrzenia przez WKR wniosku, WKR wraz z opinią wyrażoną na piśmie, składa oryginał wniosku za pośrednictwem Działu Kształcenia do Rektora. 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01758F">
        <w:tc>
          <w:tcPr>
            <w:tcW w:w="13994" w:type="dxa"/>
            <w:shd w:val="clear" w:color="auto" w:fill="BFBFBF" w:themeFill="background1" w:themeFillShade="BF"/>
          </w:tcPr>
          <w:p w:rsidR="0001758F" w:rsidRDefault="0001758F">
            <w:pPr>
              <w:spacing w:after="0" w:line="240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</w:p>
          <w:p w:rsidR="0001758F" w:rsidRDefault="001544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iCs/>
                <w:color w:val="0070C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70C0"/>
              </w:rPr>
              <w:t>Odwołanie od decyzji administracyjnej WKR – decyzje wydaje Rektor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</w:p>
        </w:tc>
      </w:tr>
      <w:tr w:rsidR="0001758F">
        <w:tc>
          <w:tcPr>
            <w:tcW w:w="13994" w:type="dxa"/>
          </w:tcPr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Kandydaci niezadowoleni z wyniku rekrutacji, którzy otrzymali wydaną przez WKR decyzję o odmowie przyjęcia na studia kończącą postępowanie rekrutacyjne mają prawo do złożenia odwołania. 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Termin złożenia</w:t>
            </w:r>
            <w:r>
              <w:rPr>
                <w:rFonts w:ascii="Cambria" w:hAnsi="Cambria"/>
              </w:rPr>
              <w:t>: do 14 dni od dnia doręczenia decyzji administracyjnej.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Sposób załatwienia sprawy: </w:t>
            </w:r>
            <w:r>
              <w:rPr>
                <w:rFonts w:ascii="Cambria" w:hAnsi="Cambria"/>
              </w:rPr>
              <w:t xml:space="preserve">Zgodnie z pouczeniem znajdującym się w decyzji wydanej przez WKR informującym kandydata o tym, co może zrobić, jeśli się z tą decyzją nie zgadza, kandydat może złożyć za pośrednictwem WKR odwołanie do Rektora. WKR zbiera wszystkie odwołania,  następnie szczegółowo ustosunkowuje się do zarzutów stawianych przez kandydata w odwołaniu. 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Każde odwołanie powinno być zaopiniowane przez Przewodniczącego Wydziałowej Komisji Rekrutacyjnej (opinia może być w formie odrębnego załącznika do odwołania albo napisana na samym odwołaniu). Jeżeli podstawą odwołania jest wskazanie naruszenia warunków i trybu rekrutacji na studia, Przewodniczący WKR opiniując odwołanie powinien szczegółowo ustosunkować się do stawianych zarzutów. Nawet w sytuacji, najczęstszej zresztą, gdy kandydat nie wskazuje na żadne naruszenia w postępowaniu rekrutacyjnym, powinna być opinia, choćby stwierdzająca fakt niewskazywania uchybień. </w:t>
            </w:r>
          </w:p>
          <w:p w:rsidR="0001758F" w:rsidRDefault="00154473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Oryginały </w:t>
            </w:r>
            <w:proofErr w:type="spellStart"/>
            <w:r>
              <w:rPr>
                <w:rFonts w:ascii="Cambria" w:hAnsi="Cambria"/>
              </w:rPr>
              <w:t>odwołań</w:t>
            </w:r>
            <w:proofErr w:type="spellEnd"/>
            <w:r>
              <w:rPr>
                <w:rFonts w:ascii="Cambria" w:hAnsi="Cambria"/>
              </w:rPr>
              <w:t xml:space="preserve"> wraz z załączoną do każdego odwołania opinią (podpisaną przez Przewodniczącego WKR), WKR składa za pośrednictwem Działu Kształcenia do Rektora. Decyzje administracyjne dotyczące </w:t>
            </w:r>
            <w:proofErr w:type="spellStart"/>
            <w:r>
              <w:rPr>
                <w:rFonts w:ascii="Cambria" w:hAnsi="Cambria"/>
              </w:rPr>
              <w:t>odwołań</w:t>
            </w:r>
            <w:proofErr w:type="spellEnd"/>
            <w:r>
              <w:rPr>
                <w:rFonts w:ascii="Cambria" w:hAnsi="Cambria"/>
              </w:rPr>
              <w:t xml:space="preserve"> przygotowują pracownicy Działu Kształcenia. Decyzje podpisuje Rektor lub upoważniony przez Rektora Prorektor. Kopia decyzji przekazywana jest do właściwego dziekanatu. </w:t>
            </w:r>
          </w:p>
          <w:p w:rsidR="0001758F" w:rsidRDefault="0001758F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</w:p>
        </w:tc>
      </w:tr>
    </w:tbl>
    <w:p w:rsidR="0001758F" w:rsidRDefault="0001758F">
      <w:pPr>
        <w:jc w:val="both"/>
        <w:rPr>
          <w:rFonts w:ascii="Cambria" w:hAnsi="Cambria"/>
          <w:color w:val="FF0000"/>
        </w:rPr>
      </w:pPr>
    </w:p>
    <w:p w:rsidR="0001758F" w:rsidRDefault="00154473">
      <w:pPr>
        <w:jc w:val="both"/>
        <w:rPr>
          <w:rFonts w:ascii="Cambria" w:hAnsi="Cambria"/>
          <w:b/>
          <w:shd w:val="clear" w:color="auto" w:fill="FFFFFF"/>
        </w:rPr>
      </w:pPr>
      <w:r>
        <w:rPr>
          <w:rFonts w:ascii="Cambria" w:hAnsi="Cambria"/>
          <w:b/>
          <w:shd w:val="clear" w:color="auto" w:fill="FFFFFF"/>
        </w:rPr>
        <w:t xml:space="preserve">*/**Poniżej przykładowe wzory decyzji wraz z uzasadnieniem dostępne w systemie IRK -  wydawane przez WKR </w:t>
      </w: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…………………………………………………….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i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i/>
          <w:sz w:val="18"/>
          <w:szCs w:val="18"/>
          <w:lang w:eastAsia="pl-PL"/>
        </w:rPr>
        <w:t>(miejscowość i data)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SimSun" w:hAnsi="Arial" w:cs="Arial"/>
          <w:i/>
          <w:sz w:val="20"/>
          <w:szCs w:val="20"/>
          <w:lang w:eastAsia="pl-PL"/>
        </w:rPr>
        <w:t>(pieczęć Wydziału)</w:t>
      </w:r>
    </w:p>
    <w:p w:rsidR="0001758F" w:rsidRDefault="00154473">
      <w:pPr>
        <w:keepNext/>
        <w:spacing w:after="0" w:line="240" w:lineRule="auto"/>
        <w:outlineLvl w:val="4"/>
        <w:rPr>
          <w:rFonts w:ascii="Arial" w:eastAsia="SimSun" w:hAnsi="Arial" w:cs="Arial"/>
          <w:b/>
          <w:color w:val="0000FF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color w:val="0000FF"/>
          <w:sz w:val="20"/>
          <w:szCs w:val="20"/>
          <w:lang w:eastAsia="pl-PL"/>
        </w:rPr>
        <w:t>WYDZIAŁOWA KOMISJA REKRUTACYJNA</w:t>
      </w:r>
    </w:p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>Nr   ............................................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.......................................................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 xml:space="preserve">       (imię i nazwisko)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.......................................................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(ulica)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.......................................................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(kod pocztowy i miejscowość)</w:t>
      </w: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keepNext/>
        <w:spacing w:after="0" w:line="240" w:lineRule="auto"/>
        <w:jc w:val="center"/>
        <w:outlineLvl w:val="1"/>
        <w:rPr>
          <w:rFonts w:ascii="Arial" w:eastAsia="SimSun" w:hAnsi="Arial" w:cs="Arial"/>
          <w:spacing w:val="6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pacing w:val="60"/>
          <w:sz w:val="20"/>
          <w:szCs w:val="20"/>
          <w:lang w:val="en-US" w:eastAsia="pl-PL"/>
        </w:rPr>
        <w:t>*</w:t>
      </w:r>
      <w:r>
        <w:rPr>
          <w:rFonts w:ascii="Arial" w:eastAsia="SimSun" w:hAnsi="Arial" w:cs="Arial"/>
          <w:b/>
          <w:spacing w:val="60"/>
          <w:sz w:val="20"/>
          <w:szCs w:val="20"/>
          <w:lang w:eastAsia="pl-PL"/>
        </w:rPr>
        <w:t>Decyzja</w:t>
      </w: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ind w:firstLine="708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 xml:space="preserve">Na podstawie art. </w:t>
      </w:r>
      <w:r>
        <w:rPr>
          <w:rFonts w:ascii="Arial" w:eastAsia="SimSun" w:hAnsi="Arial" w:cs="Arial"/>
          <w:bCs/>
          <w:sz w:val="18"/>
          <w:szCs w:val="18"/>
          <w:lang w:eastAsia="pl-PL"/>
        </w:rPr>
        <w:t>132</w:t>
      </w:r>
      <w:r>
        <w:rPr>
          <w:rFonts w:ascii="Arial" w:eastAsia="SimSun" w:hAnsi="Arial" w:cs="Arial"/>
          <w:sz w:val="18"/>
          <w:szCs w:val="18"/>
          <w:lang w:eastAsia="pl-PL"/>
        </w:rPr>
        <w:t xml:space="preserve"> ustawy z dnia 14 czerwca 1960 r. - Kodeks Postępowania Administracyjnego (</w:t>
      </w:r>
      <w:proofErr w:type="spellStart"/>
      <w:r>
        <w:rPr>
          <w:rFonts w:ascii="Arial" w:eastAsia="SimSun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eastAsia="SimSun" w:hAnsi="Arial" w:cs="Arial"/>
          <w:sz w:val="18"/>
          <w:szCs w:val="18"/>
          <w:lang w:eastAsia="pl-PL"/>
        </w:rPr>
        <w:t xml:space="preserve">. Dz. U. 2023 poz. 775 z </w:t>
      </w:r>
      <w:proofErr w:type="spellStart"/>
      <w:r>
        <w:rPr>
          <w:rFonts w:ascii="Arial" w:eastAsia="SimSun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eastAsia="SimSun" w:hAnsi="Arial" w:cs="Arial"/>
          <w:sz w:val="18"/>
          <w:szCs w:val="18"/>
          <w:lang w:eastAsia="pl-PL"/>
        </w:rPr>
        <w:t>. zm.) w związku z art. 72 - Prawo o szkolnictwie wyższym i nauce (</w:t>
      </w:r>
      <w:proofErr w:type="spellStart"/>
      <w:r>
        <w:rPr>
          <w:rFonts w:ascii="Arial" w:eastAsia="SimSun" w:hAnsi="Arial" w:cs="Arial"/>
          <w:sz w:val="18"/>
          <w:szCs w:val="18"/>
          <w:lang w:eastAsia="pl-PL"/>
        </w:rPr>
        <w:t>t.j</w:t>
      </w:r>
      <w:proofErr w:type="spellEnd"/>
      <w:r>
        <w:rPr>
          <w:rFonts w:ascii="Arial" w:eastAsia="SimSun" w:hAnsi="Arial" w:cs="Arial"/>
          <w:sz w:val="18"/>
          <w:szCs w:val="18"/>
          <w:lang w:eastAsia="pl-PL"/>
        </w:rPr>
        <w:t xml:space="preserve">. Dz. U. z 2023 r., poz. 742, z </w:t>
      </w:r>
      <w:proofErr w:type="spellStart"/>
      <w:r>
        <w:rPr>
          <w:rFonts w:ascii="Arial" w:eastAsia="SimSun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eastAsia="SimSun" w:hAnsi="Arial" w:cs="Arial"/>
          <w:sz w:val="18"/>
          <w:szCs w:val="18"/>
          <w:lang w:eastAsia="pl-PL"/>
        </w:rPr>
        <w:t xml:space="preserve">. zm.) oraz § 16 ust. 2 i 3 uchwały nr </w:t>
      </w:r>
      <w:r w:rsidR="004E1761">
        <w:rPr>
          <w:rFonts w:ascii="Arial" w:eastAsia="SimSun" w:hAnsi="Arial" w:cs="Arial"/>
          <w:sz w:val="18"/>
          <w:szCs w:val="18"/>
          <w:lang w:eastAsia="pl-PL"/>
        </w:rPr>
        <w:t>406</w:t>
      </w:r>
      <w:r>
        <w:rPr>
          <w:rFonts w:ascii="Arial" w:eastAsia="SimSun" w:hAnsi="Arial" w:cs="Arial"/>
          <w:sz w:val="18"/>
          <w:szCs w:val="18"/>
          <w:lang w:eastAsia="pl-PL"/>
        </w:rPr>
        <w:t xml:space="preserve"> Senatu Uniwersytetu Śląskiego z dnia 2</w:t>
      </w:r>
      <w:r w:rsidR="004E1761">
        <w:rPr>
          <w:rFonts w:ascii="Arial" w:eastAsia="SimSun" w:hAnsi="Arial" w:cs="Arial"/>
          <w:sz w:val="18"/>
          <w:szCs w:val="18"/>
          <w:lang w:eastAsia="pl-PL"/>
        </w:rPr>
        <w:t>7</w:t>
      </w:r>
      <w:r>
        <w:rPr>
          <w:rFonts w:ascii="Arial" w:eastAsia="SimSun" w:hAnsi="Arial" w:cs="Arial"/>
          <w:sz w:val="18"/>
          <w:szCs w:val="18"/>
          <w:lang w:eastAsia="pl-PL"/>
        </w:rPr>
        <w:t xml:space="preserve"> czerwca 202</w:t>
      </w:r>
      <w:r w:rsidR="004E1761">
        <w:rPr>
          <w:rFonts w:ascii="Arial" w:eastAsia="SimSun" w:hAnsi="Arial" w:cs="Arial"/>
          <w:sz w:val="18"/>
          <w:szCs w:val="18"/>
          <w:lang w:eastAsia="pl-PL"/>
        </w:rPr>
        <w:t>3</w:t>
      </w:r>
      <w:r>
        <w:rPr>
          <w:rFonts w:ascii="Arial" w:eastAsia="SimSun" w:hAnsi="Arial" w:cs="Arial"/>
          <w:sz w:val="18"/>
          <w:szCs w:val="18"/>
          <w:lang w:eastAsia="pl-PL"/>
        </w:rPr>
        <w:t xml:space="preserve"> w sprawie warunków i trybu rekrutacji na I rok studiów w Uniwersytecie Śląskim w Katowicach w roku akademickim </w:t>
      </w:r>
      <w:r w:rsidR="004E1761">
        <w:rPr>
          <w:rFonts w:ascii="Arial" w:eastAsia="SimSun" w:hAnsi="Arial" w:cs="Arial"/>
          <w:sz w:val="18"/>
          <w:szCs w:val="18"/>
          <w:lang w:eastAsia="pl-PL"/>
        </w:rPr>
        <w:t>2024/2025</w:t>
      </w:r>
      <w:r>
        <w:rPr>
          <w:rFonts w:ascii="Arial" w:eastAsia="SimSun" w:hAnsi="Arial" w:cs="Arial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SimSun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eastAsia="SimSun" w:hAnsi="Arial" w:cs="Arial"/>
          <w:sz w:val="18"/>
          <w:szCs w:val="18"/>
          <w:lang w:eastAsia="pl-PL"/>
        </w:rPr>
        <w:t xml:space="preserve">. zm. </w:t>
      </w:r>
      <w:r>
        <w:rPr>
          <w:rFonts w:ascii="Arial" w:eastAsia="SimSun" w:hAnsi="Arial" w:cs="Arial"/>
          <w:sz w:val="20"/>
          <w:szCs w:val="20"/>
          <w:lang w:eastAsia="pl-PL"/>
        </w:rPr>
        <w:t>– po rozpoznaniu złożonego odwołania od decyzji Wydziałowej Komisji Rekrutacyjnej o nieprzyjęciu na I rok studiów, na kierunek ........................................................................................................................</w:t>
      </w: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na rok akademicki </w:t>
      </w:r>
      <w:r w:rsidR="004E1761">
        <w:rPr>
          <w:rFonts w:ascii="Arial" w:eastAsia="SimSun" w:hAnsi="Arial" w:cs="Arial"/>
          <w:sz w:val="20"/>
          <w:szCs w:val="20"/>
          <w:lang w:eastAsia="pl-PL"/>
        </w:rPr>
        <w:t>2024/2025</w:t>
      </w:r>
      <w:r>
        <w:rPr>
          <w:rFonts w:ascii="Arial" w:eastAsia="SimSun" w:hAnsi="Arial" w:cs="Arial"/>
          <w:sz w:val="20"/>
          <w:szCs w:val="20"/>
          <w:lang w:eastAsia="pl-PL"/>
        </w:rPr>
        <w:t>,</w:t>
      </w:r>
    </w:p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360" w:lineRule="auto"/>
        <w:jc w:val="center"/>
        <w:rPr>
          <w:rFonts w:ascii="Arial" w:eastAsia="SimSun" w:hAnsi="Arial" w:cs="Arial"/>
          <w:b/>
          <w:spacing w:val="2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pacing w:val="20"/>
          <w:sz w:val="20"/>
          <w:szCs w:val="20"/>
          <w:lang w:eastAsia="pl-PL"/>
        </w:rPr>
        <w:t>uchyla się decyzję Wydziałowej Komisji Rekrutacyjnej</w:t>
      </w:r>
    </w:p>
    <w:p w:rsidR="0001758F" w:rsidRDefault="00154473">
      <w:pPr>
        <w:spacing w:after="0" w:line="360" w:lineRule="auto"/>
        <w:jc w:val="center"/>
        <w:rPr>
          <w:rFonts w:ascii="Arial" w:eastAsia="SimSun" w:hAnsi="Arial" w:cs="Arial"/>
          <w:b/>
          <w:spacing w:val="2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pacing w:val="20"/>
          <w:sz w:val="20"/>
          <w:szCs w:val="20"/>
          <w:lang w:eastAsia="pl-PL"/>
        </w:rPr>
        <w:t>Wydziału .............................................................Uniwersytetu Śląskiego</w:t>
      </w:r>
    </w:p>
    <w:p w:rsidR="0001758F" w:rsidRDefault="00154473">
      <w:pPr>
        <w:spacing w:after="0" w:line="360" w:lineRule="auto"/>
        <w:jc w:val="center"/>
        <w:rPr>
          <w:rFonts w:ascii="Arial" w:eastAsia="SimSun" w:hAnsi="Arial" w:cs="Arial"/>
          <w:b/>
          <w:spacing w:val="2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pacing w:val="20"/>
          <w:sz w:val="20"/>
          <w:szCs w:val="20"/>
          <w:lang w:eastAsia="pl-PL"/>
        </w:rPr>
        <w:t>Nr .................... z dnia ...............................</w:t>
      </w:r>
    </w:p>
    <w:p w:rsidR="0001758F" w:rsidRDefault="00154473">
      <w:pPr>
        <w:spacing w:after="0" w:line="360" w:lineRule="auto"/>
        <w:jc w:val="center"/>
        <w:rPr>
          <w:rFonts w:ascii="Arial" w:eastAsia="SimSun" w:hAnsi="Arial" w:cs="Arial"/>
          <w:b/>
          <w:spacing w:val="2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pacing w:val="20"/>
          <w:sz w:val="20"/>
          <w:szCs w:val="20"/>
          <w:lang w:eastAsia="pl-PL"/>
        </w:rPr>
        <w:t>i orzeka się o przyjęciu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>Pana/Panią...........................................................................................................................</w:t>
      </w:r>
    </w:p>
    <w:p w:rsidR="0001758F" w:rsidRDefault="00154473">
      <w:pPr>
        <w:spacing w:after="0" w:line="360" w:lineRule="auto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na I rok studiów: </w:t>
      </w:r>
      <w:r>
        <w:rPr>
          <w:rFonts w:ascii="Arial" w:eastAsia="SimSun" w:hAnsi="Arial" w:cs="Arial"/>
          <w:i/>
          <w:sz w:val="20"/>
          <w:szCs w:val="20"/>
          <w:lang w:eastAsia="pl-PL"/>
        </w:rPr>
        <w:t>pierwszego stopnia / drugiego stopnia /</w:t>
      </w:r>
      <w:r>
        <w:rPr>
          <w:rFonts w:ascii="Arial" w:eastAsia="SimSu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i/>
          <w:sz w:val="20"/>
          <w:szCs w:val="20"/>
          <w:lang w:eastAsia="pl-PL"/>
        </w:rPr>
        <w:t xml:space="preserve">jednolitych magisterskich*), </w:t>
      </w:r>
      <w:r>
        <w:rPr>
          <w:rFonts w:ascii="Arial" w:eastAsia="SimSun" w:hAnsi="Arial" w:cs="Arial"/>
          <w:sz w:val="20"/>
          <w:szCs w:val="20"/>
          <w:lang w:eastAsia="pl-PL"/>
        </w:rPr>
        <w:t>stacjonarnych, niestacjonarnych *) na kierunek: ...................................................................................................................................,</w:t>
      </w:r>
    </w:p>
    <w:p w:rsidR="0001758F" w:rsidRDefault="00154473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na rok akademicki </w:t>
      </w:r>
      <w:r w:rsidR="004E1761">
        <w:rPr>
          <w:rFonts w:ascii="Arial" w:eastAsia="SimSun" w:hAnsi="Arial" w:cs="Arial"/>
          <w:sz w:val="20"/>
          <w:szCs w:val="20"/>
          <w:lang w:eastAsia="pl-PL"/>
        </w:rPr>
        <w:t>2024/2025</w:t>
      </w:r>
      <w:r>
        <w:rPr>
          <w:rFonts w:ascii="Arial" w:eastAsia="SimSun" w:hAnsi="Arial" w:cs="Arial"/>
          <w:sz w:val="20"/>
          <w:szCs w:val="20"/>
          <w:lang w:eastAsia="pl-PL"/>
        </w:rPr>
        <w:t xml:space="preserve">. </w:t>
      </w:r>
    </w:p>
    <w:p w:rsidR="0001758F" w:rsidRDefault="00154473">
      <w:pPr>
        <w:spacing w:before="40" w:after="4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Uzasadnienie </w:t>
      </w: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W związku z podwyższonym wynikiem z części pisemnej egzaminu maturalnego ustalonego wskutek </w:t>
      </w:r>
      <w:r>
        <w:rPr>
          <w:rFonts w:ascii="Arial" w:eastAsia="SimSun" w:hAnsi="Arial" w:cs="Arial"/>
          <w:bCs/>
          <w:sz w:val="20"/>
          <w:szCs w:val="20"/>
          <w:lang w:eastAsia="pl-PL"/>
        </w:rPr>
        <w:t xml:space="preserve">weryfikacji sumy punktów przez Okręgową Komisję Egzaminacyjną w ..................  </w:t>
      </w:r>
      <w:r>
        <w:rPr>
          <w:rFonts w:ascii="Arial" w:eastAsia="SimSun" w:hAnsi="Arial" w:cs="Arial"/>
          <w:sz w:val="20"/>
          <w:szCs w:val="20"/>
          <w:lang w:eastAsia="pl-PL"/>
        </w:rPr>
        <w:t>Kandydat/ka wniósł/</w:t>
      </w:r>
      <w:r w:rsidR="00087C9C">
        <w:rPr>
          <w:rFonts w:ascii="Arial" w:eastAsia="SimSun" w:hAnsi="Arial" w:cs="Arial"/>
          <w:sz w:val="20"/>
          <w:szCs w:val="20"/>
          <w:lang w:eastAsia="pl-PL"/>
        </w:rPr>
        <w:t>wniosła</w:t>
      </w:r>
      <w:r>
        <w:rPr>
          <w:rFonts w:ascii="Arial" w:eastAsia="SimSun" w:hAnsi="Arial" w:cs="Arial"/>
          <w:sz w:val="20"/>
          <w:szCs w:val="20"/>
          <w:lang w:eastAsia="pl-PL"/>
        </w:rPr>
        <w:t xml:space="preserve"> do Wydziałowej Komisji Rekrutacyjnej podanie o ponowne obliczenie wyniku z postępowania kwalifikacyjnego.</w:t>
      </w:r>
      <w:bookmarkStart w:id="0" w:name="_GoBack"/>
      <w:bookmarkEnd w:id="0"/>
    </w:p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>Zmiana dotyczy wyniku egzaminu maturalnego z części pisemnej, z przedmiotu:</w:t>
      </w:r>
    </w:p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81"/>
        <w:gridCol w:w="2129"/>
        <w:gridCol w:w="2074"/>
      </w:tblGrid>
      <w:tr w:rsidR="0001758F">
        <w:tc>
          <w:tcPr>
            <w:tcW w:w="2802" w:type="dxa"/>
            <w:vAlign w:val="center"/>
          </w:tcPr>
          <w:p w:rsidR="0001758F" w:rsidRDefault="00154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281" w:type="dxa"/>
            <w:vAlign w:val="center"/>
          </w:tcPr>
          <w:p w:rsidR="0001758F" w:rsidRDefault="00154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Poziom</w:t>
            </w:r>
          </w:p>
          <w:p w:rsidR="0001758F" w:rsidRDefault="001544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(podstawowy/</w:t>
            </w:r>
          </w:p>
          <w:p w:rsidR="0001758F" w:rsidRDefault="00154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rozszerzony)</w:t>
            </w:r>
          </w:p>
        </w:tc>
        <w:tc>
          <w:tcPr>
            <w:tcW w:w="2129" w:type="dxa"/>
            <w:vAlign w:val="center"/>
          </w:tcPr>
          <w:p w:rsidR="0001758F" w:rsidRDefault="00154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Wynik przed weryfikacją</w:t>
            </w:r>
          </w:p>
          <w:p w:rsidR="0001758F" w:rsidRDefault="00154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(w procentach)</w:t>
            </w:r>
          </w:p>
        </w:tc>
        <w:tc>
          <w:tcPr>
            <w:tcW w:w="2074" w:type="dxa"/>
            <w:vAlign w:val="center"/>
          </w:tcPr>
          <w:p w:rsidR="0001758F" w:rsidRDefault="00154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Wynik po</w:t>
            </w:r>
          </w:p>
          <w:p w:rsidR="0001758F" w:rsidRDefault="00154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weryfikacji</w:t>
            </w:r>
          </w:p>
          <w:p w:rsidR="0001758F" w:rsidRDefault="00154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(w procentach)</w:t>
            </w:r>
          </w:p>
        </w:tc>
      </w:tr>
      <w:tr w:rsidR="0001758F">
        <w:trPr>
          <w:trHeight w:val="454"/>
        </w:trPr>
        <w:tc>
          <w:tcPr>
            <w:tcW w:w="2802" w:type="dxa"/>
            <w:vAlign w:val="center"/>
          </w:tcPr>
          <w:p w:rsidR="0001758F" w:rsidRDefault="00017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vAlign w:val="center"/>
          </w:tcPr>
          <w:p w:rsidR="0001758F" w:rsidRDefault="00017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vAlign w:val="center"/>
          </w:tcPr>
          <w:p w:rsidR="0001758F" w:rsidRDefault="00017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74" w:type="dxa"/>
            <w:vAlign w:val="center"/>
          </w:tcPr>
          <w:p w:rsidR="0001758F" w:rsidRDefault="00017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>Wydziałowa Komisja Rekrutacyjna Wydziału .................................................. przychyliła się do prośby Kandydata/</w:t>
      </w:r>
      <w:proofErr w:type="spellStart"/>
      <w:r>
        <w:rPr>
          <w:rFonts w:ascii="Arial" w:eastAsia="SimSun" w:hAnsi="Arial" w:cs="Arial"/>
          <w:sz w:val="20"/>
          <w:szCs w:val="20"/>
          <w:lang w:eastAsia="pl-PL"/>
        </w:rPr>
        <w:t>tki</w:t>
      </w:r>
      <w:proofErr w:type="spellEnd"/>
      <w:r>
        <w:rPr>
          <w:rFonts w:ascii="Arial" w:eastAsia="SimSun" w:hAnsi="Arial" w:cs="Arial"/>
          <w:sz w:val="20"/>
          <w:szCs w:val="20"/>
          <w:lang w:eastAsia="pl-PL"/>
        </w:rPr>
        <w:t xml:space="preserve"> i na podstawie nowego świadectwa dojrzałości wydanego przez OKE w ......................ponownie obliczyła wynik z postępowania kwalifikacyjnego na ww. kierunek studiów:</w:t>
      </w: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3050"/>
        <w:gridCol w:w="2037"/>
      </w:tblGrid>
      <w:tr w:rsidR="0001758F">
        <w:trPr>
          <w:trHeight w:val="284"/>
        </w:trPr>
        <w:tc>
          <w:tcPr>
            <w:tcW w:w="4200" w:type="dxa"/>
            <w:vAlign w:val="center"/>
          </w:tcPr>
          <w:p w:rsidR="0001758F" w:rsidRDefault="0015447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l-PL"/>
              </w:rPr>
              <w:t xml:space="preserve">Przedmiot do kwalifikacji </w:t>
            </w:r>
          </w:p>
        </w:tc>
        <w:tc>
          <w:tcPr>
            <w:tcW w:w="3050" w:type="dxa"/>
            <w:vAlign w:val="center"/>
          </w:tcPr>
          <w:p w:rsidR="0001758F" w:rsidRDefault="0015447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l-PL"/>
              </w:rPr>
              <w:t>Poziom</w:t>
            </w:r>
          </w:p>
        </w:tc>
        <w:tc>
          <w:tcPr>
            <w:tcW w:w="2037" w:type="dxa"/>
            <w:vAlign w:val="center"/>
          </w:tcPr>
          <w:p w:rsidR="0001758F" w:rsidRDefault="0015447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l-PL"/>
              </w:rPr>
              <w:t>Wynik</w:t>
            </w:r>
          </w:p>
        </w:tc>
      </w:tr>
      <w:tr w:rsidR="0001758F">
        <w:trPr>
          <w:trHeight w:val="1517"/>
        </w:trPr>
        <w:tc>
          <w:tcPr>
            <w:tcW w:w="4200" w:type="dxa"/>
            <w:vAlign w:val="center"/>
          </w:tcPr>
          <w:p w:rsidR="0001758F" w:rsidRDefault="0001758F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50" w:type="dxa"/>
            <w:vAlign w:val="center"/>
          </w:tcPr>
          <w:p w:rsidR="0001758F" w:rsidRDefault="0001758F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7" w:type="dxa"/>
            <w:vAlign w:val="center"/>
          </w:tcPr>
          <w:p w:rsidR="0001758F" w:rsidRDefault="0001758F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</w:p>
        </w:tc>
      </w:tr>
      <w:tr w:rsidR="0001758F">
        <w:trPr>
          <w:trHeight w:val="284"/>
        </w:trPr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58F" w:rsidRDefault="0001758F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58F" w:rsidRDefault="00154473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pl-PL"/>
              </w:rPr>
              <w:t>Wynik końcowy wynosi:</w:t>
            </w:r>
          </w:p>
        </w:tc>
        <w:tc>
          <w:tcPr>
            <w:tcW w:w="203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1758F" w:rsidRDefault="0001758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>Uzyskana liczba punktów jest wystarczająca do przyjęcia Kandydata/</w:t>
      </w:r>
      <w:proofErr w:type="spellStart"/>
      <w:r>
        <w:rPr>
          <w:rFonts w:ascii="Arial" w:eastAsia="SimSun" w:hAnsi="Arial" w:cs="Arial"/>
          <w:sz w:val="20"/>
          <w:szCs w:val="20"/>
          <w:lang w:eastAsia="pl-PL"/>
        </w:rPr>
        <w:t>tki</w:t>
      </w:r>
      <w:proofErr w:type="spellEnd"/>
      <w:r>
        <w:rPr>
          <w:rFonts w:ascii="Arial" w:eastAsia="SimSun" w:hAnsi="Arial" w:cs="Arial"/>
          <w:sz w:val="20"/>
          <w:szCs w:val="20"/>
          <w:lang w:eastAsia="pl-PL"/>
        </w:rPr>
        <w:t xml:space="preserve"> na stacjonarne, niestacjonarne*) studia, na wyżej wymieniony kierunek, w roku akademickim </w:t>
      </w:r>
      <w:r w:rsidR="004E1761">
        <w:rPr>
          <w:rFonts w:ascii="Arial" w:eastAsia="SimSun" w:hAnsi="Arial" w:cs="Arial"/>
          <w:sz w:val="20"/>
          <w:szCs w:val="20"/>
          <w:lang w:eastAsia="pl-PL"/>
        </w:rPr>
        <w:t>2024/2025</w:t>
      </w:r>
      <w:r>
        <w:rPr>
          <w:rFonts w:ascii="Arial" w:eastAsia="SimSun" w:hAnsi="Arial" w:cs="Arial"/>
          <w:sz w:val="20"/>
          <w:szCs w:val="20"/>
          <w:lang w:eastAsia="pl-PL"/>
        </w:rPr>
        <w:t>.</w:t>
      </w:r>
    </w:p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u w:val="single"/>
          <w:lang w:eastAsia="pl-PL"/>
        </w:rPr>
      </w:pPr>
      <w:r>
        <w:rPr>
          <w:rFonts w:ascii="Arial" w:eastAsia="SimSun" w:hAnsi="Arial" w:cs="Arial"/>
          <w:sz w:val="20"/>
          <w:szCs w:val="20"/>
          <w:u w:val="single"/>
          <w:lang w:eastAsia="pl-PL"/>
        </w:rPr>
        <w:t>Wobec powyższego należało orzec jak w sentencji.</w:t>
      </w:r>
    </w:p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i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 xml:space="preserve">Od niniejszej decyzji przysługuje prawo wniesienia odwołania do Rektora za pośrednictwem Wydziałowej Komisji Rekrutacyjnej w terminie 14 dni od dnia jej doręczenia. </w:t>
      </w:r>
      <w:proofErr w:type="spellStart"/>
      <w:r>
        <w:rPr>
          <w:rFonts w:ascii="Arial" w:eastAsia="SimSun" w:hAnsi="Arial" w:cs="Arial"/>
          <w:sz w:val="18"/>
          <w:szCs w:val="18"/>
          <w:lang w:val="en-US" w:eastAsia="pl-PL"/>
        </w:rPr>
        <w:t>Przed</w:t>
      </w:r>
      <w:proofErr w:type="spellEnd"/>
      <w:r>
        <w:rPr>
          <w:rFonts w:ascii="Arial" w:eastAsia="SimSu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SimSun" w:hAnsi="Arial" w:cs="Arial"/>
          <w:sz w:val="18"/>
          <w:szCs w:val="18"/>
          <w:lang w:val="en-US" w:eastAsia="pl-PL"/>
        </w:rPr>
        <w:t>upływem</w:t>
      </w:r>
      <w:proofErr w:type="spellEnd"/>
      <w:r>
        <w:rPr>
          <w:rFonts w:ascii="Arial" w:eastAsia="SimSun" w:hAnsi="Arial" w:cs="Arial"/>
          <w:sz w:val="18"/>
          <w:szCs w:val="18"/>
          <w:lang w:eastAsia="pl-PL"/>
        </w:rPr>
        <w:t xml:space="preserve"> terminu na wniesienie odwołania w świetle art. 127a k.p.a., strona może zrzec się prawa do jego wniesienia. Z dniem doręczenia organowi, który wydał decyzję, oświadczenia o zrzeczeniu się prawa do wniesienia odwołania, niniejsza decyzja staje się ostateczna i prawomocna</w:t>
      </w:r>
      <w:r>
        <w:rPr>
          <w:rFonts w:ascii="Arial" w:eastAsia="SimSun" w:hAnsi="Arial" w:cs="Arial"/>
          <w:i/>
          <w:sz w:val="18"/>
          <w:szCs w:val="18"/>
          <w:lang w:eastAsia="pl-PL"/>
        </w:rPr>
        <w:t xml:space="preserve">. </w:t>
      </w: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i/>
          <w:sz w:val="18"/>
          <w:szCs w:val="18"/>
          <w:lang w:eastAsia="pl-PL"/>
        </w:rPr>
      </w:pPr>
    </w:p>
    <w:p w:rsidR="0001758F" w:rsidRDefault="00154473">
      <w:pPr>
        <w:spacing w:after="0" w:line="240" w:lineRule="auto"/>
        <w:ind w:left="4956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>Pismo zostało opatrzone bezpiecznym podpisem elektronicznym weryfikowanym przy pomocy ważnego kwalifikowanego certyfikatu**</w:t>
      </w:r>
    </w:p>
    <w:p w:rsidR="0001758F" w:rsidRDefault="0001758F">
      <w:pPr>
        <w:spacing w:after="0" w:line="240" w:lineRule="auto"/>
        <w:ind w:left="4956"/>
        <w:rPr>
          <w:rFonts w:ascii="Arial" w:eastAsia="SimSun" w:hAnsi="Arial" w:cs="Arial"/>
          <w:sz w:val="18"/>
          <w:szCs w:val="18"/>
          <w:lang w:eastAsia="pl-PL"/>
        </w:rPr>
      </w:pPr>
    </w:p>
    <w:p w:rsidR="0001758F" w:rsidRDefault="00154473">
      <w:pPr>
        <w:spacing w:after="0" w:line="240" w:lineRule="auto"/>
        <w:ind w:left="4956"/>
        <w:rPr>
          <w:rFonts w:ascii="Arial" w:eastAsia="SimSun" w:hAnsi="Arial" w:cs="Arial"/>
          <w:b/>
          <w:i/>
          <w:sz w:val="18"/>
          <w:szCs w:val="18"/>
          <w:lang w:eastAsia="pl-PL"/>
        </w:rPr>
      </w:pPr>
      <w:r>
        <w:rPr>
          <w:rFonts w:ascii="Arial" w:eastAsia="SimSun" w:hAnsi="Arial" w:cs="Arial"/>
          <w:b/>
          <w:i/>
          <w:sz w:val="18"/>
          <w:szCs w:val="18"/>
          <w:lang w:eastAsia="pl-PL"/>
        </w:rPr>
        <w:t>________________________________________</w:t>
      </w:r>
    </w:p>
    <w:p w:rsidR="0001758F" w:rsidRDefault="00154473">
      <w:pPr>
        <w:spacing w:after="0" w:line="240" w:lineRule="auto"/>
        <w:ind w:left="4956"/>
        <w:rPr>
          <w:rFonts w:ascii="Arial" w:eastAsia="SimSun" w:hAnsi="Arial" w:cs="Arial"/>
          <w:b/>
          <w:i/>
          <w:sz w:val="18"/>
          <w:szCs w:val="18"/>
          <w:lang w:eastAsia="pl-PL"/>
        </w:rPr>
      </w:pPr>
      <w:r>
        <w:rPr>
          <w:rFonts w:ascii="Arial" w:eastAsia="SimSun" w:hAnsi="Arial" w:cs="Arial"/>
          <w:b/>
          <w:i/>
          <w:sz w:val="18"/>
          <w:szCs w:val="18"/>
          <w:lang w:eastAsia="pl-PL"/>
        </w:rPr>
        <w:t>Przewodniczący</w:t>
      </w:r>
    </w:p>
    <w:p w:rsidR="0001758F" w:rsidRDefault="00154473">
      <w:pPr>
        <w:spacing w:after="0" w:line="240" w:lineRule="auto"/>
        <w:ind w:left="4956"/>
        <w:jc w:val="both"/>
        <w:rPr>
          <w:rFonts w:ascii="Arial" w:eastAsia="SimSun" w:hAnsi="Arial" w:cs="Arial"/>
          <w:b/>
          <w:i/>
          <w:sz w:val="18"/>
          <w:szCs w:val="18"/>
          <w:lang w:eastAsia="pl-PL"/>
        </w:rPr>
      </w:pPr>
      <w:r>
        <w:rPr>
          <w:rFonts w:ascii="Arial" w:eastAsia="SimSun" w:hAnsi="Arial" w:cs="Arial"/>
          <w:b/>
          <w:i/>
          <w:sz w:val="18"/>
          <w:szCs w:val="18"/>
          <w:lang w:eastAsia="pl-PL"/>
        </w:rPr>
        <w:t>Wydziałowej Komisji Rekrutacyjnej</w:t>
      </w: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pl-PL"/>
        </w:rPr>
      </w:pP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>Otrzymują:</w:t>
      </w: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US"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>1. Kandydat</w:t>
      </w:r>
      <w:r>
        <w:rPr>
          <w:rFonts w:ascii="Arial" w:eastAsia="SimSun" w:hAnsi="Arial" w:cs="Arial"/>
          <w:sz w:val="18"/>
          <w:szCs w:val="18"/>
          <w:lang w:val="en-US" w:eastAsia="pl-PL"/>
        </w:rPr>
        <w:t>/</w:t>
      </w:r>
      <w:proofErr w:type="spellStart"/>
      <w:r>
        <w:rPr>
          <w:rFonts w:ascii="Arial" w:eastAsia="SimSun" w:hAnsi="Arial" w:cs="Arial"/>
          <w:sz w:val="18"/>
          <w:szCs w:val="18"/>
          <w:lang w:val="en-US" w:eastAsia="pl-PL"/>
        </w:rPr>
        <w:t>Kandydatka</w:t>
      </w:r>
      <w:proofErr w:type="spellEnd"/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>2. Ad acta</w:t>
      </w: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01758F">
      <w:pPr>
        <w:jc w:val="both"/>
        <w:rPr>
          <w:rFonts w:ascii="Cambria" w:hAnsi="Cambria"/>
          <w:shd w:val="clear" w:color="auto" w:fill="FFFFFF"/>
        </w:rPr>
      </w:pP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…………………………………………………….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i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i/>
          <w:sz w:val="18"/>
          <w:szCs w:val="18"/>
          <w:lang w:eastAsia="pl-PL"/>
        </w:rPr>
        <w:t>(miejscowość i data)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                        </w:t>
      </w:r>
      <w:r>
        <w:rPr>
          <w:rFonts w:ascii="Arial" w:eastAsia="SimSun" w:hAnsi="Arial" w:cs="Arial"/>
          <w:i/>
          <w:sz w:val="20"/>
          <w:szCs w:val="20"/>
          <w:lang w:eastAsia="pl-PL"/>
        </w:rPr>
        <w:t>(pieczęć Wydziału)</w:t>
      </w:r>
    </w:p>
    <w:p w:rsidR="0001758F" w:rsidRDefault="00154473">
      <w:pPr>
        <w:keepNext/>
        <w:spacing w:after="0" w:line="240" w:lineRule="auto"/>
        <w:outlineLvl w:val="4"/>
        <w:rPr>
          <w:rFonts w:ascii="Arial" w:eastAsia="SimSun" w:hAnsi="Arial" w:cs="Arial"/>
          <w:b/>
          <w:color w:val="0000FF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color w:val="0000FF"/>
          <w:sz w:val="20"/>
          <w:szCs w:val="20"/>
          <w:lang w:eastAsia="pl-PL"/>
        </w:rPr>
        <w:t>WYDZIAŁOWA KOMISJA REKRUTACYJNA</w:t>
      </w:r>
    </w:p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>Nr   ............................................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.......................................................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 xml:space="preserve">       (imię i nazwisko)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.......................................................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(ulica)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.......................................................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</w:r>
      <w:r>
        <w:rPr>
          <w:rFonts w:ascii="Arial" w:eastAsia="SimSun" w:hAnsi="Arial" w:cs="Arial"/>
          <w:sz w:val="18"/>
          <w:szCs w:val="18"/>
          <w:lang w:eastAsia="pl-PL"/>
        </w:rPr>
        <w:tab/>
        <w:t>(kod pocztowy i miejscowość)</w:t>
      </w: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keepNext/>
        <w:spacing w:after="0" w:line="240" w:lineRule="auto"/>
        <w:jc w:val="center"/>
        <w:outlineLvl w:val="1"/>
        <w:rPr>
          <w:rFonts w:ascii="Arial" w:eastAsia="SimSun" w:hAnsi="Arial" w:cs="Arial"/>
          <w:spacing w:val="6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pacing w:val="60"/>
          <w:sz w:val="20"/>
          <w:szCs w:val="20"/>
          <w:lang w:val="en-US" w:eastAsia="pl-PL"/>
        </w:rPr>
        <w:t>**</w:t>
      </w:r>
      <w:r>
        <w:rPr>
          <w:rFonts w:ascii="Arial" w:eastAsia="SimSun" w:hAnsi="Arial" w:cs="Arial"/>
          <w:b/>
          <w:spacing w:val="60"/>
          <w:sz w:val="20"/>
          <w:szCs w:val="20"/>
          <w:lang w:eastAsia="pl-PL"/>
        </w:rPr>
        <w:t>Decyzja</w:t>
      </w: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ind w:firstLine="708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Na podstawie art. </w:t>
      </w:r>
      <w:r>
        <w:rPr>
          <w:rFonts w:ascii="Arial" w:eastAsia="SimSun" w:hAnsi="Arial" w:cs="Arial"/>
          <w:bCs/>
          <w:sz w:val="20"/>
          <w:szCs w:val="20"/>
          <w:lang w:eastAsia="pl-PL"/>
        </w:rPr>
        <w:t>132</w:t>
      </w:r>
      <w:r>
        <w:rPr>
          <w:rFonts w:ascii="Arial" w:eastAsia="SimSun" w:hAnsi="Arial" w:cs="Arial"/>
          <w:sz w:val="20"/>
          <w:szCs w:val="20"/>
          <w:lang w:eastAsia="pl-PL"/>
        </w:rPr>
        <w:t xml:space="preserve"> ustawy z dnia 14 czerwca 1960 r. - Kodeks Postępowania Administracyjnego (</w:t>
      </w:r>
      <w:proofErr w:type="spellStart"/>
      <w:r>
        <w:rPr>
          <w:rFonts w:ascii="Arial" w:eastAsia="SimSu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SimSun" w:hAnsi="Arial" w:cs="Arial"/>
          <w:sz w:val="20"/>
          <w:szCs w:val="20"/>
          <w:lang w:eastAsia="pl-PL"/>
        </w:rPr>
        <w:t xml:space="preserve">. Dz. U. 2023 poz. 775 z </w:t>
      </w:r>
      <w:proofErr w:type="spellStart"/>
      <w:r>
        <w:rPr>
          <w:rFonts w:ascii="Arial" w:eastAsia="SimSu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SimSun" w:hAnsi="Arial" w:cs="Arial"/>
          <w:sz w:val="20"/>
          <w:szCs w:val="20"/>
          <w:lang w:eastAsia="pl-PL"/>
        </w:rPr>
        <w:t>. zm.)  – po rozpoznaniu złożonego odwołania od decyzji Wydziałowej Komisji Rekrutacyjnej o nieprzyjęciu na I rok studiów, na kierunek ........................................................................................................................</w:t>
      </w: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na rok akademicki </w:t>
      </w:r>
      <w:r w:rsidR="004E1761">
        <w:rPr>
          <w:rFonts w:ascii="Arial" w:eastAsia="SimSun" w:hAnsi="Arial" w:cs="Arial"/>
          <w:sz w:val="20"/>
          <w:szCs w:val="20"/>
          <w:lang w:eastAsia="pl-PL"/>
        </w:rPr>
        <w:t>2024/2025</w:t>
      </w:r>
      <w:r>
        <w:rPr>
          <w:rFonts w:ascii="Arial" w:eastAsia="SimSun" w:hAnsi="Arial" w:cs="Arial"/>
          <w:sz w:val="20"/>
          <w:szCs w:val="20"/>
          <w:lang w:eastAsia="pl-PL"/>
        </w:rPr>
        <w:t>,</w:t>
      </w:r>
    </w:p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360" w:lineRule="auto"/>
        <w:jc w:val="center"/>
        <w:rPr>
          <w:rFonts w:ascii="Arial" w:eastAsia="SimSun" w:hAnsi="Arial" w:cs="Arial"/>
          <w:b/>
          <w:spacing w:val="2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pacing w:val="20"/>
          <w:sz w:val="20"/>
          <w:szCs w:val="20"/>
          <w:lang w:eastAsia="pl-PL"/>
        </w:rPr>
        <w:t>uchyla się decyzję Wydziałowej Komisji Rekrutacyjnej</w:t>
      </w:r>
    </w:p>
    <w:p w:rsidR="0001758F" w:rsidRDefault="00154473">
      <w:pPr>
        <w:spacing w:after="0" w:line="360" w:lineRule="auto"/>
        <w:jc w:val="center"/>
        <w:rPr>
          <w:rFonts w:ascii="Arial" w:eastAsia="SimSun" w:hAnsi="Arial" w:cs="Arial"/>
          <w:b/>
          <w:spacing w:val="2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pacing w:val="20"/>
          <w:sz w:val="20"/>
          <w:szCs w:val="20"/>
          <w:lang w:eastAsia="pl-PL"/>
        </w:rPr>
        <w:t>Wydziału .............................................................Uniwersytetu Śląskiego</w:t>
      </w:r>
    </w:p>
    <w:p w:rsidR="0001758F" w:rsidRDefault="00154473">
      <w:pPr>
        <w:spacing w:after="0" w:line="360" w:lineRule="auto"/>
        <w:jc w:val="center"/>
        <w:rPr>
          <w:rFonts w:ascii="Arial" w:eastAsia="SimSun" w:hAnsi="Arial" w:cs="Arial"/>
          <w:b/>
          <w:spacing w:val="2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pacing w:val="20"/>
          <w:sz w:val="20"/>
          <w:szCs w:val="20"/>
          <w:lang w:eastAsia="pl-PL"/>
        </w:rPr>
        <w:t>Nr .................... z dnia ...............................</w:t>
      </w:r>
    </w:p>
    <w:p w:rsidR="0001758F" w:rsidRDefault="00154473">
      <w:pPr>
        <w:spacing w:after="0" w:line="360" w:lineRule="auto"/>
        <w:jc w:val="center"/>
        <w:rPr>
          <w:rFonts w:ascii="Arial" w:eastAsia="SimSun" w:hAnsi="Arial" w:cs="Arial"/>
          <w:b/>
          <w:spacing w:val="20"/>
          <w:sz w:val="20"/>
          <w:szCs w:val="20"/>
          <w:lang w:eastAsia="pl-PL"/>
        </w:rPr>
      </w:pPr>
      <w:r>
        <w:rPr>
          <w:rFonts w:ascii="Arial" w:eastAsia="SimSun" w:hAnsi="Arial" w:cs="Arial"/>
          <w:b/>
          <w:spacing w:val="20"/>
          <w:sz w:val="20"/>
          <w:szCs w:val="20"/>
          <w:lang w:eastAsia="pl-PL"/>
        </w:rPr>
        <w:t>i orzeka się o przyjęciu</w:t>
      </w:r>
    </w:p>
    <w:p w:rsidR="0001758F" w:rsidRDefault="00154473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>Pana/Panią...........................................................................................................................</w:t>
      </w:r>
    </w:p>
    <w:p w:rsidR="0001758F" w:rsidRDefault="00154473">
      <w:pPr>
        <w:spacing w:after="0" w:line="360" w:lineRule="auto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na I rok studiów: </w:t>
      </w:r>
      <w:r>
        <w:rPr>
          <w:rFonts w:ascii="Arial" w:eastAsia="SimSun" w:hAnsi="Arial" w:cs="Arial"/>
          <w:i/>
          <w:sz w:val="20"/>
          <w:szCs w:val="20"/>
          <w:lang w:eastAsia="pl-PL"/>
        </w:rPr>
        <w:t>pierwszego stopnia / drugiego stopnia /</w:t>
      </w:r>
      <w:r>
        <w:rPr>
          <w:rFonts w:ascii="Arial" w:eastAsia="SimSu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SimSun" w:hAnsi="Arial" w:cs="Arial"/>
          <w:i/>
          <w:sz w:val="20"/>
          <w:szCs w:val="20"/>
          <w:lang w:eastAsia="pl-PL"/>
        </w:rPr>
        <w:t xml:space="preserve">jednolitych magisterskich*), </w:t>
      </w:r>
      <w:r>
        <w:rPr>
          <w:rFonts w:ascii="Arial" w:eastAsia="SimSun" w:hAnsi="Arial" w:cs="Arial"/>
          <w:sz w:val="20"/>
          <w:szCs w:val="20"/>
          <w:lang w:eastAsia="pl-PL"/>
        </w:rPr>
        <w:t>stacjonarnych, niestacjonarnych *) na kierunek: ...................................................................................................................................,</w:t>
      </w:r>
    </w:p>
    <w:p w:rsidR="0001758F" w:rsidRDefault="00154473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 xml:space="preserve">na rok akademicki </w:t>
      </w:r>
      <w:r w:rsidR="004E1761">
        <w:rPr>
          <w:rFonts w:ascii="Arial" w:eastAsia="SimSun" w:hAnsi="Arial" w:cs="Arial"/>
          <w:sz w:val="20"/>
          <w:szCs w:val="20"/>
          <w:lang w:eastAsia="pl-PL"/>
        </w:rPr>
        <w:t>2024/2025</w:t>
      </w:r>
      <w:r>
        <w:rPr>
          <w:rFonts w:ascii="Arial" w:eastAsia="SimSun" w:hAnsi="Arial" w:cs="Arial"/>
          <w:sz w:val="20"/>
          <w:szCs w:val="20"/>
          <w:lang w:eastAsia="pl-PL"/>
        </w:rPr>
        <w:t xml:space="preserve">. </w:t>
      </w:r>
    </w:p>
    <w:p w:rsidR="0001758F" w:rsidRDefault="00154473">
      <w:pPr>
        <w:spacing w:before="40" w:after="4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r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Uzasadnienie </w:t>
      </w:r>
    </w:p>
    <w:p w:rsidR="0001758F" w:rsidRDefault="00154473">
      <w:pPr>
        <w:spacing w:before="40" w:after="40" w:line="240" w:lineRule="auto"/>
        <w:jc w:val="both"/>
        <w:rPr>
          <w:rFonts w:ascii="Arial" w:eastAsia="SimSun" w:hAnsi="Arial" w:cs="Times New Roman"/>
          <w:sz w:val="20"/>
          <w:szCs w:val="20"/>
          <w:lang w:eastAsia="pl-PL"/>
        </w:rPr>
      </w:pPr>
      <w:r>
        <w:rPr>
          <w:rFonts w:ascii="Arial" w:eastAsia="SimSun" w:hAnsi="Arial" w:cs="Times New Roman"/>
          <w:spacing w:val="-2"/>
          <w:sz w:val="20"/>
          <w:szCs w:val="24"/>
          <w:lang w:eastAsia="pl-PL"/>
        </w:rPr>
        <w:t>B</w:t>
      </w:r>
      <w:r>
        <w:rPr>
          <w:rFonts w:ascii="Arial" w:eastAsia="SimSun" w:hAnsi="Arial" w:cs="Times New Roman"/>
          <w:sz w:val="20"/>
          <w:szCs w:val="20"/>
          <w:lang w:eastAsia="pl-PL"/>
        </w:rPr>
        <w:t xml:space="preserve">iorąc pod uwagę wynik postępowania kwalifikacyjnego oraz argumenty przedstawione w odwołaniu przychylam się do prośby Kandydata/Kandydatki. </w:t>
      </w:r>
    </w:p>
    <w:p w:rsidR="0001758F" w:rsidRDefault="0001758F">
      <w:pPr>
        <w:spacing w:before="40" w:after="4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>
        <w:rPr>
          <w:rFonts w:ascii="Arial" w:eastAsia="SimSun" w:hAnsi="Arial" w:cs="Arial"/>
          <w:sz w:val="20"/>
          <w:szCs w:val="20"/>
          <w:lang w:eastAsia="pl-PL"/>
        </w:rPr>
        <w:t>Wobec powyższego należało orzec jak w sentencji.</w:t>
      </w:r>
    </w:p>
    <w:p w:rsidR="0001758F" w:rsidRDefault="0001758F">
      <w:pPr>
        <w:spacing w:after="0" w:line="240" w:lineRule="auto"/>
        <w:rPr>
          <w:rFonts w:ascii="Arial" w:eastAsia="SimSun" w:hAnsi="Arial" w:cs="Arial"/>
          <w:sz w:val="20"/>
          <w:szCs w:val="20"/>
          <w:lang w:eastAsia="pl-PL"/>
        </w:rPr>
      </w:pP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i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 xml:space="preserve">Od niniejszej decyzji przysługuje prawo wniesienia odwołania do Rektora za pośrednictwem Wydziałowej Komisji Rekrutacyjnej w terminie 14 dni od dnia jej doręczenia. </w:t>
      </w:r>
      <w:proofErr w:type="spellStart"/>
      <w:r>
        <w:rPr>
          <w:rFonts w:ascii="Arial" w:eastAsia="SimSun" w:hAnsi="Arial" w:cs="Arial"/>
          <w:sz w:val="18"/>
          <w:szCs w:val="18"/>
          <w:lang w:val="en-US" w:eastAsia="pl-PL"/>
        </w:rPr>
        <w:t>Przed</w:t>
      </w:r>
      <w:proofErr w:type="spellEnd"/>
      <w:r>
        <w:rPr>
          <w:rFonts w:ascii="Arial" w:eastAsia="SimSu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SimSun" w:hAnsi="Arial" w:cs="Arial"/>
          <w:sz w:val="18"/>
          <w:szCs w:val="18"/>
          <w:lang w:val="en-US" w:eastAsia="pl-PL"/>
        </w:rPr>
        <w:t>upływem</w:t>
      </w:r>
      <w:proofErr w:type="spellEnd"/>
      <w:r>
        <w:rPr>
          <w:rFonts w:ascii="Arial" w:eastAsia="SimSun" w:hAnsi="Arial" w:cs="Arial"/>
          <w:sz w:val="18"/>
          <w:szCs w:val="18"/>
          <w:lang w:eastAsia="pl-PL"/>
        </w:rPr>
        <w:t xml:space="preserve"> terminu na wniesienie odwołania w świetle art. 127a k.p.a., strona może zrzec się prawa do jego wniesienia. Z dniem doręczenia organowi, który wydał decyzję, oświadczenia o zrzeczeniu się prawa do wniesienia odwołania, niniejsza decyzja staje się ostateczna i prawomocna</w:t>
      </w:r>
      <w:r>
        <w:rPr>
          <w:rFonts w:ascii="Arial" w:eastAsia="SimSun" w:hAnsi="Arial" w:cs="Arial"/>
          <w:i/>
          <w:sz w:val="18"/>
          <w:szCs w:val="18"/>
          <w:lang w:eastAsia="pl-PL"/>
        </w:rPr>
        <w:t xml:space="preserve">. </w:t>
      </w: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i/>
          <w:sz w:val="18"/>
          <w:szCs w:val="18"/>
          <w:lang w:eastAsia="pl-PL"/>
        </w:rPr>
      </w:pPr>
    </w:p>
    <w:p w:rsidR="0001758F" w:rsidRDefault="00154473">
      <w:pPr>
        <w:spacing w:after="0" w:line="240" w:lineRule="auto"/>
        <w:ind w:left="4956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>Pismo zostało opatrzone bezpiecznym podpisem elektronicznym weryfikowanym przy pomocy ważnego kwalifikowanego certyfikatu**</w:t>
      </w:r>
    </w:p>
    <w:p w:rsidR="0001758F" w:rsidRDefault="0001758F">
      <w:pPr>
        <w:spacing w:after="0" w:line="240" w:lineRule="auto"/>
        <w:ind w:left="4956"/>
        <w:rPr>
          <w:rFonts w:ascii="Arial" w:eastAsia="SimSun" w:hAnsi="Arial" w:cs="Arial"/>
          <w:sz w:val="18"/>
          <w:szCs w:val="18"/>
          <w:lang w:eastAsia="pl-PL"/>
        </w:rPr>
      </w:pPr>
    </w:p>
    <w:p w:rsidR="0001758F" w:rsidRDefault="00154473">
      <w:pPr>
        <w:spacing w:after="0" w:line="240" w:lineRule="auto"/>
        <w:ind w:left="4956"/>
        <w:rPr>
          <w:rFonts w:ascii="Arial" w:eastAsia="SimSun" w:hAnsi="Arial" w:cs="Arial"/>
          <w:b/>
          <w:i/>
          <w:sz w:val="18"/>
          <w:szCs w:val="18"/>
          <w:lang w:eastAsia="pl-PL"/>
        </w:rPr>
      </w:pPr>
      <w:r>
        <w:rPr>
          <w:rFonts w:ascii="Arial" w:eastAsia="SimSun" w:hAnsi="Arial" w:cs="Arial"/>
          <w:b/>
          <w:i/>
          <w:sz w:val="18"/>
          <w:szCs w:val="18"/>
          <w:lang w:eastAsia="pl-PL"/>
        </w:rPr>
        <w:t>________________________________________</w:t>
      </w:r>
    </w:p>
    <w:p w:rsidR="0001758F" w:rsidRDefault="00154473">
      <w:pPr>
        <w:spacing w:after="0" w:line="240" w:lineRule="auto"/>
        <w:ind w:left="4956"/>
        <w:rPr>
          <w:rFonts w:ascii="Arial" w:eastAsia="SimSun" w:hAnsi="Arial" w:cs="Arial"/>
          <w:b/>
          <w:i/>
          <w:sz w:val="18"/>
          <w:szCs w:val="18"/>
          <w:lang w:eastAsia="pl-PL"/>
        </w:rPr>
      </w:pPr>
      <w:r>
        <w:rPr>
          <w:rFonts w:ascii="Arial" w:eastAsia="SimSun" w:hAnsi="Arial" w:cs="Arial"/>
          <w:b/>
          <w:i/>
          <w:sz w:val="18"/>
          <w:szCs w:val="18"/>
          <w:lang w:eastAsia="pl-PL"/>
        </w:rPr>
        <w:t>Przewodniczący</w:t>
      </w:r>
    </w:p>
    <w:p w:rsidR="0001758F" w:rsidRDefault="00154473">
      <w:pPr>
        <w:spacing w:after="0" w:line="240" w:lineRule="auto"/>
        <w:ind w:left="4956"/>
        <w:jc w:val="both"/>
        <w:rPr>
          <w:rFonts w:ascii="Arial" w:eastAsia="SimSun" w:hAnsi="Arial" w:cs="Arial"/>
          <w:b/>
          <w:i/>
          <w:sz w:val="18"/>
          <w:szCs w:val="18"/>
          <w:lang w:eastAsia="pl-PL"/>
        </w:rPr>
      </w:pPr>
      <w:r>
        <w:rPr>
          <w:rFonts w:ascii="Arial" w:eastAsia="SimSun" w:hAnsi="Arial" w:cs="Arial"/>
          <w:b/>
          <w:i/>
          <w:sz w:val="18"/>
          <w:szCs w:val="18"/>
          <w:lang w:eastAsia="pl-PL"/>
        </w:rPr>
        <w:t>Wydziałowej Komisji Rekrutacyjnej</w:t>
      </w:r>
    </w:p>
    <w:p w:rsidR="0001758F" w:rsidRDefault="0001758F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pl-PL"/>
        </w:rPr>
      </w:pP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>Otrzymują:</w:t>
      </w:r>
    </w:p>
    <w:p w:rsidR="0001758F" w:rsidRDefault="00154473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 xml:space="preserve">1. Kandydat/Kandydatka </w:t>
      </w:r>
    </w:p>
    <w:p w:rsidR="0001758F" w:rsidRPr="001B7247" w:rsidRDefault="00154473" w:rsidP="001B7247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eastAsia="pl-PL"/>
        </w:rPr>
      </w:pPr>
      <w:r>
        <w:rPr>
          <w:rFonts w:ascii="Arial" w:eastAsia="SimSun" w:hAnsi="Arial" w:cs="Arial"/>
          <w:sz w:val="18"/>
          <w:szCs w:val="18"/>
          <w:lang w:eastAsia="pl-PL"/>
        </w:rPr>
        <w:t>2. Ad acta</w:t>
      </w:r>
    </w:p>
    <w:sectPr w:rsidR="0001758F" w:rsidRPr="001B724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58F" w:rsidRDefault="00154473">
      <w:pPr>
        <w:spacing w:line="240" w:lineRule="auto"/>
      </w:pPr>
      <w:r>
        <w:separator/>
      </w:r>
    </w:p>
  </w:endnote>
  <w:endnote w:type="continuationSeparator" w:id="0">
    <w:p w:rsidR="0001758F" w:rsidRDefault="00154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58F" w:rsidRDefault="001544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758F" w:rsidRDefault="0015447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" filled="f" fillcolor="white [3201]" stroked="f" strokeweight=".5pt">
              <v:textbox style="mso-fit-shape-to-text:t" inset="0,0,0,0">
                <w:txbxContent>
                  <w:p w:rsidR="0001758F" w:rsidRDefault="00154473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58F" w:rsidRDefault="00154473">
      <w:pPr>
        <w:spacing w:after="0"/>
      </w:pPr>
      <w:r>
        <w:separator/>
      </w:r>
    </w:p>
  </w:footnote>
  <w:footnote w:type="continuationSeparator" w:id="0">
    <w:p w:rsidR="0001758F" w:rsidRDefault="001544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D2E"/>
    <w:multiLevelType w:val="multilevel"/>
    <w:tmpl w:val="2B273D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45D1"/>
    <w:multiLevelType w:val="multilevel"/>
    <w:tmpl w:val="6FA445D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07"/>
    <w:rsid w:val="0001758F"/>
    <w:rsid w:val="00035DC3"/>
    <w:rsid w:val="00044D78"/>
    <w:rsid w:val="00086E64"/>
    <w:rsid w:val="00087C9C"/>
    <w:rsid w:val="000D3E0D"/>
    <w:rsid w:val="000D6769"/>
    <w:rsid w:val="00154473"/>
    <w:rsid w:val="00164858"/>
    <w:rsid w:val="001B7247"/>
    <w:rsid w:val="001F6ED7"/>
    <w:rsid w:val="002644CF"/>
    <w:rsid w:val="00264D00"/>
    <w:rsid w:val="00286613"/>
    <w:rsid w:val="00287EEC"/>
    <w:rsid w:val="002D52A3"/>
    <w:rsid w:val="002F135B"/>
    <w:rsid w:val="00300FCC"/>
    <w:rsid w:val="003471DC"/>
    <w:rsid w:val="00444CC5"/>
    <w:rsid w:val="00475AE5"/>
    <w:rsid w:val="0049523D"/>
    <w:rsid w:val="004E1761"/>
    <w:rsid w:val="00533580"/>
    <w:rsid w:val="00570F07"/>
    <w:rsid w:val="005A4D49"/>
    <w:rsid w:val="005B367C"/>
    <w:rsid w:val="005C6EA2"/>
    <w:rsid w:val="006240D7"/>
    <w:rsid w:val="006E73BE"/>
    <w:rsid w:val="0070135C"/>
    <w:rsid w:val="00744B7B"/>
    <w:rsid w:val="007830D2"/>
    <w:rsid w:val="00796D73"/>
    <w:rsid w:val="007D464A"/>
    <w:rsid w:val="007E4684"/>
    <w:rsid w:val="00827525"/>
    <w:rsid w:val="008A1978"/>
    <w:rsid w:val="008A4474"/>
    <w:rsid w:val="008B6966"/>
    <w:rsid w:val="008B771D"/>
    <w:rsid w:val="009358B3"/>
    <w:rsid w:val="00946D12"/>
    <w:rsid w:val="00990639"/>
    <w:rsid w:val="009A32AD"/>
    <w:rsid w:val="009A77B5"/>
    <w:rsid w:val="00A846C9"/>
    <w:rsid w:val="00AE165C"/>
    <w:rsid w:val="00B95AB8"/>
    <w:rsid w:val="00BD37E8"/>
    <w:rsid w:val="00BE76B2"/>
    <w:rsid w:val="00C11404"/>
    <w:rsid w:val="00C71B59"/>
    <w:rsid w:val="00CD6B2C"/>
    <w:rsid w:val="00CE60B3"/>
    <w:rsid w:val="00D12C9F"/>
    <w:rsid w:val="00D46633"/>
    <w:rsid w:val="00D54048"/>
    <w:rsid w:val="00D94518"/>
    <w:rsid w:val="00DA0B4D"/>
    <w:rsid w:val="00DD5316"/>
    <w:rsid w:val="00DF6512"/>
    <w:rsid w:val="00E17AB4"/>
    <w:rsid w:val="00E269A4"/>
    <w:rsid w:val="00E8735E"/>
    <w:rsid w:val="00E97587"/>
    <w:rsid w:val="00F411C9"/>
    <w:rsid w:val="00FA2D61"/>
    <w:rsid w:val="05181DCA"/>
    <w:rsid w:val="07CC05D8"/>
    <w:rsid w:val="14B27194"/>
    <w:rsid w:val="1801526D"/>
    <w:rsid w:val="1ABA07FC"/>
    <w:rsid w:val="2C3848B3"/>
    <w:rsid w:val="34BD0449"/>
    <w:rsid w:val="64227450"/>
    <w:rsid w:val="67E45EB9"/>
    <w:rsid w:val="7246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34F4"/>
  <w15:docId w15:val="{3E5A4CC3-6109-49DE-ACB9-579BEB72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ela-Siatka1">
    <w:name w:val="Tabela - Siatka1"/>
    <w:basedOn w:val="Standardowy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Drenda-Piotrowska</dc:creator>
  <cp:lastModifiedBy>Małgorzata Drenda-Piotrowska</cp:lastModifiedBy>
  <cp:revision>5</cp:revision>
  <dcterms:created xsi:type="dcterms:W3CDTF">2024-04-02T12:04:00Z</dcterms:created>
  <dcterms:modified xsi:type="dcterms:W3CDTF">2024-04-02T12:18:00Z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7190E88BD18340B89B80E5BAEE2D149F</vt:lpwstr>
  </property>
</Properties>
</file>