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159" w:rsidRDefault="00EA75D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bookmarkStart w:id="0" w:name="_Int_RcxxF6Wa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Course on „Introduction to Novel Optimization Methods in Economics“</w:t>
      </w:r>
      <w:bookmarkEnd w:id="0"/>
    </w:p>
    <w:p w:rsidR="00F46159" w:rsidRDefault="00EA75D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23-27 May, 2022</w:t>
      </w:r>
    </w:p>
    <w:p w:rsidR="00F46159" w:rsidRDefault="00EA75D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Course content</w:t>
      </w:r>
    </w:p>
    <w:p w:rsidR="00F46159" w:rsidRDefault="00EA75D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  <w:lang w:val="en-GB"/>
        </w:rPr>
        <w:t xml:space="preserve">The course is an introduction to novel optimization methods (linear and fuzzy linear optimization, genetic and memetic algorithms, swarm theory, bacterial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evolutionary algorithms, etc.). Basic theory with economic application examples. Basic ideas of artificial intelligence are also presented (fuzzy systems, neural networks). Excel and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Matlab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are used for examples.</w:t>
      </w:r>
    </w:p>
    <w:bookmarkEnd w:id="1"/>
    <w:p w:rsidR="00F46159" w:rsidRDefault="00EA75D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Learning outcomes </w:t>
      </w:r>
    </w:p>
    <w:p w:rsidR="00F46159" w:rsidRDefault="00EA75D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Basic knowledge of novel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optimization methods. Ability to construct economic optimization models. </w:t>
      </w:r>
    </w:p>
    <w:p w:rsidR="00F46159" w:rsidRDefault="00EA75D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Course participants</w:t>
      </w:r>
    </w:p>
    <w:p w:rsidR="00F46159" w:rsidRDefault="00EA75D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For Doctoral students in economics. Other students or young researchers interested in this topic are also welcome.</w:t>
      </w:r>
    </w:p>
    <w:p w:rsidR="00F46159" w:rsidRDefault="00EA75D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Course lecturer</w:t>
      </w:r>
    </w:p>
    <w:p w:rsidR="00F46159" w:rsidRDefault="00EA75D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Professor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dr.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Vesa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Niskanen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researcher at Helsinki University (Finland) and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Vytautas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Magnus University (Lithuania). His main research areas are computational intelligence (i.e. fuzzy systems, neural networks, probabilistic reasoning, evolutionary computing, logico-methodological pro</w:t>
      </w:r>
      <w:r>
        <w:rPr>
          <w:rFonts w:ascii="Times New Roman" w:hAnsi="Times New Roman" w:cs="Times New Roman"/>
          <w:sz w:val="24"/>
          <w:szCs w:val="24"/>
          <w:lang w:val="en-GB"/>
        </w:rPr>
        <w:t>blems, decision making), general methodology, mathematical &amp; statistical modelling, and the human sciences (i.e. methodological problems, e-learning).</w:t>
      </w:r>
    </w:p>
    <w:p w:rsidR="00F46159" w:rsidRDefault="00EA75D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Course “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Introduction to Novel Optimization Methods in Economics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” schedule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1575"/>
        <w:gridCol w:w="1395"/>
      </w:tblGrid>
      <w:tr w:rsidR="00F46159">
        <w:tc>
          <w:tcPr>
            <w:tcW w:w="1838" w:type="dxa"/>
          </w:tcPr>
          <w:p w:rsidR="00F46159" w:rsidRDefault="00EA7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Date</w:t>
            </w:r>
          </w:p>
        </w:tc>
        <w:tc>
          <w:tcPr>
            <w:tcW w:w="4820" w:type="dxa"/>
          </w:tcPr>
          <w:p w:rsidR="00F46159" w:rsidRDefault="00EA7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Topics</w:t>
            </w:r>
          </w:p>
        </w:tc>
        <w:tc>
          <w:tcPr>
            <w:tcW w:w="1575" w:type="dxa"/>
          </w:tcPr>
          <w:p w:rsidR="00F46159" w:rsidRDefault="00EA7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Duration of </w:t>
            </w: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activity</w:t>
            </w:r>
          </w:p>
        </w:tc>
        <w:tc>
          <w:tcPr>
            <w:tcW w:w="1395" w:type="dxa"/>
          </w:tcPr>
          <w:p w:rsidR="00F46159" w:rsidRDefault="00EA7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Time</w:t>
            </w:r>
          </w:p>
        </w:tc>
      </w:tr>
      <w:tr w:rsidR="00F46159">
        <w:tc>
          <w:tcPr>
            <w:tcW w:w="1838" w:type="dxa"/>
          </w:tcPr>
          <w:p w:rsidR="00F46159" w:rsidRDefault="00EA7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23 May, 2022</w:t>
            </w:r>
          </w:p>
        </w:tc>
        <w:tc>
          <w:tcPr>
            <w:tcW w:w="4820" w:type="dxa"/>
          </w:tcPr>
          <w:p w:rsidR="00F46159" w:rsidRDefault="00EA75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 to optimization methods and central artificial intelligence approaches.</w:t>
            </w:r>
          </w:p>
        </w:tc>
        <w:tc>
          <w:tcPr>
            <w:tcW w:w="1575" w:type="dxa"/>
          </w:tcPr>
          <w:p w:rsidR="00F46159" w:rsidRDefault="00EA7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3 acad. hours</w:t>
            </w:r>
          </w:p>
        </w:tc>
        <w:tc>
          <w:tcPr>
            <w:tcW w:w="1395" w:type="dxa"/>
          </w:tcPr>
          <w:p w:rsidR="00F46159" w:rsidRDefault="00EA7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14:00-16:15</w:t>
            </w:r>
          </w:p>
        </w:tc>
      </w:tr>
      <w:tr w:rsidR="00F46159">
        <w:tc>
          <w:tcPr>
            <w:tcW w:w="1838" w:type="dxa"/>
          </w:tcPr>
          <w:p w:rsidR="00F46159" w:rsidRDefault="00EA7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24 May, 2022</w:t>
            </w:r>
          </w:p>
        </w:tc>
        <w:tc>
          <w:tcPr>
            <w:tcW w:w="4820" w:type="dxa"/>
          </w:tcPr>
          <w:p w:rsidR="00F46159" w:rsidRDefault="00EA75D5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jc w:val="both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 to optimization methods and central artificial intelligence approaches.</w:t>
            </w:r>
          </w:p>
          <w:p w:rsidR="00F46159" w:rsidRDefault="00EA75D5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jc w:val="both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Introduction to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Excel optimization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environment.</w:t>
            </w:r>
          </w:p>
        </w:tc>
        <w:tc>
          <w:tcPr>
            <w:tcW w:w="1575" w:type="dxa"/>
          </w:tcPr>
          <w:p w:rsidR="00F46159" w:rsidRDefault="00EA7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3 acad. hours</w:t>
            </w:r>
          </w:p>
        </w:tc>
        <w:tc>
          <w:tcPr>
            <w:tcW w:w="1395" w:type="dxa"/>
          </w:tcPr>
          <w:p w:rsidR="00F46159" w:rsidRDefault="00EA7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9:00-11:15</w:t>
            </w:r>
          </w:p>
        </w:tc>
      </w:tr>
      <w:tr w:rsidR="00F46159">
        <w:tc>
          <w:tcPr>
            <w:tcW w:w="1838" w:type="dxa"/>
          </w:tcPr>
          <w:p w:rsidR="00F46159" w:rsidRDefault="00EA7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25 May, 2022</w:t>
            </w:r>
          </w:p>
        </w:tc>
        <w:tc>
          <w:tcPr>
            <w:tcW w:w="4820" w:type="dxa"/>
          </w:tcPr>
          <w:p w:rsidR="00F46159" w:rsidRDefault="00EA75D5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jc w:val="both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Optimization applications with Excel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F46159" w:rsidRDefault="00EA75D5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jc w:val="both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 to fuzzy cognitive maps.</w:t>
            </w:r>
          </w:p>
        </w:tc>
        <w:tc>
          <w:tcPr>
            <w:tcW w:w="1575" w:type="dxa"/>
          </w:tcPr>
          <w:p w:rsidR="00F46159" w:rsidRDefault="00EA7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3 acad. hours</w:t>
            </w:r>
          </w:p>
        </w:tc>
        <w:tc>
          <w:tcPr>
            <w:tcW w:w="1395" w:type="dxa"/>
          </w:tcPr>
          <w:p w:rsidR="00F46159" w:rsidRDefault="00EA7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9:00-11:15</w:t>
            </w:r>
          </w:p>
        </w:tc>
      </w:tr>
      <w:tr w:rsidR="00F46159">
        <w:tc>
          <w:tcPr>
            <w:tcW w:w="1838" w:type="dxa"/>
          </w:tcPr>
          <w:p w:rsidR="00F46159" w:rsidRDefault="00EA7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 May, 2022</w:t>
            </w:r>
          </w:p>
        </w:tc>
        <w:tc>
          <w:tcPr>
            <w:tcW w:w="4820" w:type="dxa"/>
          </w:tcPr>
          <w:p w:rsidR="00F46159" w:rsidRDefault="00EA75D5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jc w:val="both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Optimization applications with Excel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575" w:type="dxa"/>
          </w:tcPr>
          <w:p w:rsidR="00F46159" w:rsidRDefault="00EA7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3 acad. hours</w:t>
            </w:r>
          </w:p>
        </w:tc>
        <w:tc>
          <w:tcPr>
            <w:tcW w:w="1395" w:type="dxa"/>
          </w:tcPr>
          <w:p w:rsidR="00F46159" w:rsidRDefault="00EA7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9:00-11:15</w:t>
            </w:r>
          </w:p>
        </w:tc>
      </w:tr>
      <w:tr w:rsidR="00F46159">
        <w:tc>
          <w:tcPr>
            <w:tcW w:w="1838" w:type="dxa"/>
          </w:tcPr>
          <w:p w:rsidR="00F46159" w:rsidRDefault="00EA7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 May, 2022</w:t>
            </w:r>
          </w:p>
        </w:tc>
        <w:tc>
          <w:tcPr>
            <w:tcW w:w="4820" w:type="dxa"/>
          </w:tcPr>
          <w:p w:rsidR="00F46159" w:rsidRDefault="00EA75D5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jc w:val="both"/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Optimization applications with Excel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575" w:type="dxa"/>
          </w:tcPr>
          <w:p w:rsidR="00F46159" w:rsidRDefault="00EA7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3 acad. hours</w:t>
            </w:r>
          </w:p>
        </w:tc>
        <w:tc>
          <w:tcPr>
            <w:tcW w:w="1395" w:type="dxa"/>
          </w:tcPr>
          <w:p w:rsidR="00F46159" w:rsidRDefault="00EA7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9:00-11:15</w:t>
            </w:r>
          </w:p>
        </w:tc>
      </w:tr>
    </w:tbl>
    <w:p w:rsidR="00F46159" w:rsidRDefault="00F46159">
      <w:pPr>
        <w:jc w:val="both"/>
        <w:rPr>
          <w:rFonts w:ascii="Times New Roman" w:hAnsi="Times New Roman" w:cs="Times New Roman"/>
          <w:b/>
          <w:sz w:val="24"/>
          <w:lang w:val="en-GB"/>
        </w:rPr>
      </w:pPr>
    </w:p>
    <w:p w:rsidR="00F46159" w:rsidRDefault="00EA75D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This online course will take place at the Faculty of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Bioeconomy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Development 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Vytautas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Magnus University. Lectures will be held online, usi</w:t>
      </w:r>
      <w:r>
        <w:rPr>
          <w:rFonts w:ascii="Times New Roman" w:hAnsi="Times New Roman" w:cs="Times New Roman"/>
          <w:sz w:val="24"/>
          <w:szCs w:val="24"/>
          <w:lang w:val="en-GB"/>
        </w:rPr>
        <w:t>ng “Zoom” platform. Participants (who attended no less than 50 % lectures) will be awarded certificates.</w:t>
      </w:r>
    </w:p>
    <w:p w:rsidR="00F46159" w:rsidRDefault="00EA75D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Registration to the course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hyperlink r:id="rId7">
        <w:r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press here</w:t>
        </w:r>
      </w:hyperlink>
    </w:p>
    <w:p w:rsidR="00F46159" w:rsidRDefault="00EA75D5">
      <w:pPr>
        <w:pStyle w:val="Default"/>
        <w:jc w:val="both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lang w:val="en-GB"/>
        </w:rPr>
        <w:lastRenderedPageBreak/>
        <w:t xml:space="preserve">We will send you a link to the “Zoom” platform as a reminder after registration. </w:t>
      </w:r>
      <w:r>
        <w:rPr>
          <w:rFonts w:ascii="Times New Roman" w:hAnsi="Times New Roman" w:cs="Times New Roman"/>
          <w:lang w:val="en-GB"/>
        </w:rPr>
        <w:t xml:space="preserve">For more information, please contact </w:t>
      </w:r>
      <w:proofErr w:type="spellStart"/>
      <w:r>
        <w:rPr>
          <w:rFonts w:ascii="Times New Roman" w:hAnsi="Times New Roman" w:cs="Times New Roman"/>
          <w:lang w:val="en-GB"/>
        </w:rPr>
        <w:t>Jevgenija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Furgasė</w:t>
      </w:r>
      <w:proofErr w:type="spellEnd"/>
      <w:r>
        <w:rPr>
          <w:rFonts w:ascii="Times New Roman" w:hAnsi="Times New Roman" w:cs="Times New Roman"/>
          <w:lang w:val="en-GB"/>
        </w:rPr>
        <w:t xml:space="preserve">, e-mail </w:t>
      </w:r>
      <w:hyperlink r:id="rId8">
        <w:r>
          <w:rPr>
            <w:rStyle w:val="Hipercze"/>
            <w:rFonts w:ascii="Times New Roman" w:hAnsi="Times New Roman" w:cs="Times New Roman"/>
            <w:lang w:val="en-GB"/>
          </w:rPr>
          <w:t>jevgenija.furgase@vdu.lt</w:t>
        </w:r>
      </w:hyperlink>
      <w:r>
        <w:rPr>
          <w:rFonts w:ascii="Times New Roman" w:hAnsi="Times New Roman" w:cs="Times New Roman"/>
          <w:color w:val="auto"/>
          <w:lang w:val="en-GB"/>
        </w:rPr>
        <w:t xml:space="preserve"> </w:t>
      </w:r>
    </w:p>
    <w:p w:rsidR="00F46159" w:rsidRDefault="00F46159">
      <w:pPr>
        <w:pStyle w:val="Default"/>
        <w:jc w:val="both"/>
        <w:rPr>
          <w:rFonts w:eastAsia="Calibri"/>
          <w:color w:val="000000" w:themeColor="text1"/>
          <w:lang w:val="en-GB"/>
        </w:rPr>
      </w:pPr>
    </w:p>
    <w:p w:rsidR="00F46159" w:rsidRDefault="00F46159">
      <w:pPr>
        <w:pStyle w:val="Default"/>
        <w:jc w:val="both"/>
        <w:rPr>
          <w:rFonts w:eastAsia="Calibri"/>
          <w:color w:val="000000" w:themeColor="text1"/>
          <w:lang w:val="en-GB"/>
        </w:rPr>
      </w:pPr>
    </w:p>
    <w:sectPr w:rsidR="00F46159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5D5" w:rsidRDefault="00EA75D5">
      <w:pPr>
        <w:spacing w:line="240" w:lineRule="auto"/>
      </w:pPr>
      <w:r>
        <w:separator/>
      </w:r>
    </w:p>
  </w:endnote>
  <w:endnote w:type="continuationSeparator" w:id="0">
    <w:p w:rsidR="00EA75D5" w:rsidRDefault="00EA7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5D5" w:rsidRDefault="00EA75D5">
      <w:pPr>
        <w:spacing w:after="0"/>
      </w:pPr>
      <w:r>
        <w:separator/>
      </w:r>
    </w:p>
  </w:footnote>
  <w:footnote w:type="continuationSeparator" w:id="0">
    <w:p w:rsidR="00EA75D5" w:rsidRDefault="00EA75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08E"/>
    <w:multiLevelType w:val="multilevel"/>
    <w:tmpl w:val="005320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yMLc0NDIxMDU3NjRW0lEKTi0uzszPAykwrAUAGhUikiwAAAA="/>
  </w:docVars>
  <w:rsids>
    <w:rsidRoot w:val="002241ED"/>
    <w:rsid w:val="00001132"/>
    <w:rsid w:val="000E7C60"/>
    <w:rsid w:val="0018214E"/>
    <w:rsid w:val="001D62DF"/>
    <w:rsid w:val="002241ED"/>
    <w:rsid w:val="00260C48"/>
    <w:rsid w:val="0031591A"/>
    <w:rsid w:val="003222BB"/>
    <w:rsid w:val="003C663C"/>
    <w:rsid w:val="003E2EDC"/>
    <w:rsid w:val="0048709A"/>
    <w:rsid w:val="00553036"/>
    <w:rsid w:val="005C0AA7"/>
    <w:rsid w:val="00621344"/>
    <w:rsid w:val="006706B0"/>
    <w:rsid w:val="006F43F5"/>
    <w:rsid w:val="007C250E"/>
    <w:rsid w:val="007D5AB8"/>
    <w:rsid w:val="008942DC"/>
    <w:rsid w:val="008A09F2"/>
    <w:rsid w:val="00A07E1D"/>
    <w:rsid w:val="00A47B06"/>
    <w:rsid w:val="00D21727"/>
    <w:rsid w:val="00D44919"/>
    <w:rsid w:val="00EA75D5"/>
    <w:rsid w:val="00F46159"/>
    <w:rsid w:val="04A9AB17"/>
    <w:rsid w:val="0E77C963"/>
    <w:rsid w:val="10CAC192"/>
    <w:rsid w:val="129C30BD"/>
    <w:rsid w:val="13267715"/>
    <w:rsid w:val="14CDE28A"/>
    <w:rsid w:val="159E32B5"/>
    <w:rsid w:val="173A0316"/>
    <w:rsid w:val="173E275E"/>
    <w:rsid w:val="18D5D377"/>
    <w:rsid w:val="19573D52"/>
    <w:rsid w:val="1EDAA969"/>
    <w:rsid w:val="1F493943"/>
    <w:rsid w:val="20E0E55C"/>
    <w:rsid w:val="21D4A84F"/>
    <w:rsid w:val="227CB5BD"/>
    <w:rsid w:val="2280DA05"/>
    <w:rsid w:val="241CAA66"/>
    <w:rsid w:val="242073A4"/>
    <w:rsid w:val="29C2C899"/>
    <w:rsid w:val="2AB68B8C"/>
    <w:rsid w:val="2F63264B"/>
    <w:rsid w:val="30FB2D6E"/>
    <w:rsid w:val="33719865"/>
    <w:rsid w:val="3432CE30"/>
    <w:rsid w:val="3436976E"/>
    <w:rsid w:val="35113204"/>
    <w:rsid w:val="39E4A327"/>
    <w:rsid w:val="4053E4AB"/>
    <w:rsid w:val="422553D6"/>
    <w:rsid w:val="44220FA7"/>
    <w:rsid w:val="48C69B83"/>
    <w:rsid w:val="49FAC6F1"/>
    <w:rsid w:val="4B969752"/>
    <w:rsid w:val="4F808FED"/>
    <w:rsid w:val="4FCA60A5"/>
    <w:rsid w:val="558BF62E"/>
    <w:rsid w:val="5C55A2F0"/>
    <w:rsid w:val="5D774F67"/>
    <w:rsid w:val="6156FD97"/>
    <w:rsid w:val="67674868"/>
    <w:rsid w:val="691AFD9B"/>
    <w:rsid w:val="696DC640"/>
    <w:rsid w:val="6A183093"/>
    <w:rsid w:val="6E2445C8"/>
    <w:rsid w:val="715FAFC8"/>
    <w:rsid w:val="72F7B6EB"/>
    <w:rsid w:val="77C15834"/>
    <w:rsid w:val="78E07F45"/>
    <w:rsid w:val="7966F86F"/>
    <w:rsid w:val="7B02C8D0"/>
    <w:rsid w:val="7C9E9931"/>
    <w:rsid w:val="7D962562"/>
    <w:rsid w:val="7E3A6992"/>
    <w:rsid w:val="7E63EB5C"/>
    <w:rsid w:val="7EE6D7B6"/>
    <w:rsid w:val="7FD6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A98BC-432C-4C63-9888-6596C457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lt-LT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Domylnaczcionkaakapitu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lt-LT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section--item-title--2k1dq">
    <w:name w:val="section--item-title--2k1dq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vgenija.furgase@vdu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r/kFFKUj3RG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Besusparienė</dc:creator>
  <cp:lastModifiedBy>Diana Pasek</cp:lastModifiedBy>
  <cp:revision>2</cp:revision>
  <dcterms:created xsi:type="dcterms:W3CDTF">2022-05-05T07:08:00Z</dcterms:created>
  <dcterms:modified xsi:type="dcterms:W3CDTF">2022-05-05T07:08:00Z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7649B774D94A409A8CE23AB7391C16F3</vt:lpwstr>
  </property>
</Properties>
</file>