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1830" w14:textId="1724DE2B" w:rsidR="00F009C5" w:rsidRPr="004E442B" w:rsidRDefault="0067271A" w:rsidP="00A413D3">
      <w:pPr>
        <w:jc w:val="right"/>
        <w:rPr>
          <w:rFonts w:asciiTheme="minorHAnsi" w:hAnsiTheme="minorHAnsi" w:cstheme="minorHAnsi"/>
          <w:b/>
          <w:bCs/>
        </w:rPr>
      </w:pPr>
      <w:r>
        <w:rPr>
          <w:rFonts w:asciiTheme="minorHAnsi" w:hAnsiTheme="minorHAnsi" w:cstheme="minorHAnsi"/>
          <w:b/>
          <w:bCs/>
          <w:lang w:val="en"/>
        </w:rPr>
        <w:t>Annex No. 14 to the Regulations</w:t>
      </w:r>
    </w:p>
    <w:p w14:paraId="536CC6D7" w14:textId="77777777" w:rsidR="000F45C9" w:rsidRPr="00A413D3" w:rsidRDefault="000F45C9" w:rsidP="00A413D3">
      <w:pPr>
        <w:jc w:val="center"/>
        <w:rPr>
          <w:rFonts w:asciiTheme="minorHAnsi" w:hAnsiTheme="minorHAnsi" w:cstheme="minorHAnsi"/>
        </w:rPr>
      </w:pPr>
    </w:p>
    <w:p w14:paraId="2707E4AB" w14:textId="46767873" w:rsidR="000621D6" w:rsidRPr="00A413D3" w:rsidRDefault="00A413D3" w:rsidP="00A413D3">
      <w:pPr>
        <w:jc w:val="center"/>
        <w:rPr>
          <w:rFonts w:asciiTheme="minorHAnsi" w:hAnsiTheme="minorHAnsi" w:cstheme="minorHAnsi"/>
          <w:b/>
          <w:bCs/>
        </w:rPr>
      </w:pPr>
      <w:r>
        <w:rPr>
          <w:rFonts w:asciiTheme="minorHAnsi" w:hAnsiTheme="minorHAnsi" w:cstheme="minorHAnsi"/>
          <w:b/>
          <w:bCs/>
          <w:lang w:val="en"/>
        </w:rPr>
        <w:t>FLAT RATE FOR THE COSTS OF MAINTENANCE AND ACCOMMODATION</w:t>
      </w:r>
    </w:p>
    <w:tbl>
      <w:tblPr>
        <w:tblStyle w:val="Tabela-Siatka"/>
        <w:tblW w:w="0" w:type="auto"/>
        <w:jc w:val="center"/>
        <w:tblLook w:val="04A0" w:firstRow="1" w:lastRow="0" w:firstColumn="1" w:lastColumn="0" w:noHBand="0" w:noVBand="1"/>
      </w:tblPr>
      <w:tblGrid>
        <w:gridCol w:w="562"/>
        <w:gridCol w:w="1701"/>
        <w:gridCol w:w="5529"/>
        <w:gridCol w:w="1836"/>
      </w:tblGrid>
      <w:tr w:rsidR="00A413D3" w:rsidRPr="00A413D3" w14:paraId="1CC9E913" w14:textId="77777777" w:rsidTr="00A413D3">
        <w:trPr>
          <w:trHeight w:val="606"/>
          <w:jc w:val="center"/>
        </w:trPr>
        <w:tc>
          <w:tcPr>
            <w:tcW w:w="562" w:type="dxa"/>
            <w:vAlign w:val="center"/>
          </w:tcPr>
          <w:p w14:paraId="58B78FC8" w14:textId="45B825AA"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NO.</w:t>
            </w:r>
          </w:p>
        </w:tc>
        <w:tc>
          <w:tcPr>
            <w:tcW w:w="1701" w:type="dxa"/>
            <w:vAlign w:val="center"/>
          </w:tcPr>
          <w:p w14:paraId="1513DAED" w14:textId="7F3DBF1D"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COUNTRY GROUP</w:t>
            </w:r>
          </w:p>
        </w:tc>
        <w:tc>
          <w:tcPr>
            <w:tcW w:w="5529" w:type="dxa"/>
            <w:vAlign w:val="center"/>
          </w:tcPr>
          <w:p w14:paraId="35C285D3" w14:textId="0F63AAB6"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COUNTRIES</w:t>
            </w:r>
          </w:p>
        </w:tc>
        <w:tc>
          <w:tcPr>
            <w:tcW w:w="1836" w:type="dxa"/>
            <w:vAlign w:val="center"/>
          </w:tcPr>
          <w:p w14:paraId="26F383A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DAILY RATE</w:t>
            </w:r>
          </w:p>
          <w:p w14:paraId="670E9F11"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p>
          <w:p w14:paraId="0294AD53" w14:textId="15D15855"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IN PLN</w:t>
            </w:r>
          </w:p>
        </w:tc>
      </w:tr>
      <w:tr w:rsidR="00A413D3" w:rsidRPr="00A413D3" w14:paraId="149109BA" w14:textId="77777777" w:rsidTr="00A413D3">
        <w:trPr>
          <w:jc w:val="center"/>
        </w:trPr>
        <w:tc>
          <w:tcPr>
            <w:tcW w:w="562" w:type="dxa"/>
          </w:tcPr>
          <w:p w14:paraId="08FF3FEC" w14:textId="223560AA" w:rsidR="00A413D3" w:rsidRPr="00A413D3" w:rsidRDefault="00A413D3" w:rsidP="00A413D3">
            <w:pPr>
              <w:rPr>
                <w:rFonts w:asciiTheme="minorHAnsi" w:hAnsiTheme="minorHAnsi" w:cstheme="minorHAnsi"/>
                <w:sz w:val="20"/>
                <w:szCs w:val="20"/>
              </w:rPr>
            </w:pPr>
            <w:r>
              <w:rPr>
                <w:rFonts w:asciiTheme="minorHAnsi" w:hAnsiTheme="minorHAnsi" w:cstheme="minorHAnsi"/>
                <w:sz w:val="20"/>
                <w:szCs w:val="20"/>
                <w:lang w:val="en"/>
              </w:rPr>
              <w:t>I</w:t>
            </w:r>
          </w:p>
        </w:tc>
        <w:tc>
          <w:tcPr>
            <w:tcW w:w="1701" w:type="dxa"/>
            <w:vAlign w:val="center"/>
          </w:tcPr>
          <w:p w14:paraId="3412D44B"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Countries with lower costs of maintenance and accommodation</w:t>
            </w:r>
          </w:p>
          <w:p w14:paraId="51670BF3"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p>
          <w:p w14:paraId="4343E5D3" w14:textId="794246C9" w:rsidR="00A413D3" w:rsidRPr="00A413D3" w:rsidRDefault="00A413D3" w:rsidP="00A413D3">
            <w:pPr>
              <w:jc w:val="center"/>
              <w:rPr>
                <w:rFonts w:asciiTheme="minorHAnsi" w:hAnsiTheme="minorHAnsi" w:cstheme="minorHAnsi"/>
                <w:sz w:val="20"/>
                <w:szCs w:val="20"/>
              </w:rPr>
            </w:pPr>
          </w:p>
        </w:tc>
        <w:tc>
          <w:tcPr>
            <w:tcW w:w="5529" w:type="dxa"/>
            <w:vAlign w:val="center"/>
          </w:tcPr>
          <w:p w14:paraId="7021DD5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Bosnia and Herzegovina, Brazil, Bulgaria, Egypt, Georgia,</w:t>
            </w:r>
          </w:p>
          <w:p w14:paraId="5E35943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India, Lithuania, Latvia, Morocco, Moldova, Poland,</w:t>
            </w:r>
          </w:p>
          <w:p w14:paraId="48840FF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Romania, Turkey, Ukraine, Vietnam and other countries of the world3.</w:t>
            </w:r>
          </w:p>
          <w:p w14:paraId="1ED4A61F" w14:textId="0D657EF4" w:rsidR="00A413D3" w:rsidRPr="00A413D3" w:rsidRDefault="00A413D3" w:rsidP="00A413D3">
            <w:pPr>
              <w:jc w:val="center"/>
              <w:rPr>
                <w:rFonts w:asciiTheme="minorHAnsi" w:hAnsiTheme="minorHAnsi" w:cstheme="minorHAnsi"/>
                <w:sz w:val="20"/>
                <w:szCs w:val="20"/>
              </w:rPr>
            </w:pPr>
          </w:p>
        </w:tc>
        <w:tc>
          <w:tcPr>
            <w:tcW w:w="1836" w:type="dxa"/>
            <w:vAlign w:val="center"/>
          </w:tcPr>
          <w:p w14:paraId="5EF5BE43" w14:textId="4DFD78FC"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300</w:t>
            </w:r>
          </w:p>
        </w:tc>
      </w:tr>
      <w:tr w:rsidR="00A413D3" w:rsidRPr="00A413D3" w14:paraId="3CF17113" w14:textId="77777777" w:rsidTr="00A413D3">
        <w:trPr>
          <w:jc w:val="center"/>
        </w:trPr>
        <w:tc>
          <w:tcPr>
            <w:tcW w:w="562" w:type="dxa"/>
          </w:tcPr>
          <w:p w14:paraId="1B2EE1F0" w14:textId="06ACA580" w:rsidR="00A413D3" w:rsidRPr="00A413D3" w:rsidRDefault="00A413D3" w:rsidP="00A413D3">
            <w:pPr>
              <w:rPr>
                <w:rFonts w:asciiTheme="minorHAnsi" w:hAnsiTheme="minorHAnsi" w:cstheme="minorHAnsi"/>
                <w:sz w:val="20"/>
                <w:szCs w:val="20"/>
              </w:rPr>
            </w:pPr>
            <w:r>
              <w:rPr>
                <w:rFonts w:asciiTheme="minorHAnsi" w:hAnsiTheme="minorHAnsi" w:cstheme="minorHAnsi"/>
                <w:sz w:val="20"/>
                <w:szCs w:val="20"/>
                <w:lang w:val="en"/>
              </w:rPr>
              <w:t>II</w:t>
            </w:r>
          </w:p>
        </w:tc>
        <w:tc>
          <w:tcPr>
            <w:tcW w:w="1701" w:type="dxa"/>
            <w:vAlign w:val="center"/>
          </w:tcPr>
          <w:p w14:paraId="506ADAE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Countries with average costs of maintenance and accommodation</w:t>
            </w:r>
          </w:p>
          <w:p w14:paraId="2E5CFECD"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p>
          <w:p w14:paraId="709E84F5" w14:textId="40A7D65D" w:rsidR="00A413D3" w:rsidRPr="00A413D3" w:rsidRDefault="00A413D3" w:rsidP="00A413D3">
            <w:pPr>
              <w:jc w:val="center"/>
              <w:rPr>
                <w:rFonts w:asciiTheme="minorHAnsi" w:hAnsiTheme="minorHAnsi" w:cstheme="minorHAnsi"/>
                <w:sz w:val="20"/>
                <w:szCs w:val="20"/>
              </w:rPr>
            </w:pPr>
          </w:p>
        </w:tc>
        <w:tc>
          <w:tcPr>
            <w:tcW w:w="5529" w:type="dxa"/>
            <w:vAlign w:val="center"/>
          </w:tcPr>
          <w:p w14:paraId="07EC74FC"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Andorra, Austria, Azerbaijan, Belgium, Croatia,</w:t>
            </w:r>
          </w:p>
          <w:p w14:paraId="1550A96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Czechia, Cyprus, France, Greece, Indonesia, Jordan,</w:t>
            </w:r>
          </w:p>
          <w:p w14:paraId="527FEE05"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Kazakhstan, Kyrgyzstan, North Macedonia, Germany,</w:t>
            </w:r>
          </w:p>
          <w:p w14:paraId="10DB1D9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Malta, the Netherlands, Portugal and Spain, Monaco,</w:t>
            </w:r>
          </w:p>
          <w:p w14:paraId="410B19A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Vatican City State, San Marino, Serbia, and Slovakia,</w:t>
            </w:r>
          </w:p>
          <w:p w14:paraId="0C5FA3DE" w14:textId="61E3CF71"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Slovenia, Thailand, Hungary, Italy, Uzbekistan,</w:t>
            </w:r>
          </w:p>
        </w:tc>
        <w:tc>
          <w:tcPr>
            <w:tcW w:w="1836" w:type="dxa"/>
            <w:vAlign w:val="center"/>
          </w:tcPr>
          <w:p w14:paraId="4C1E2EAD" w14:textId="64093ACB"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400</w:t>
            </w:r>
          </w:p>
        </w:tc>
      </w:tr>
      <w:tr w:rsidR="00A413D3" w:rsidRPr="00A413D3" w14:paraId="5D314393" w14:textId="77777777" w:rsidTr="00A413D3">
        <w:trPr>
          <w:jc w:val="center"/>
        </w:trPr>
        <w:tc>
          <w:tcPr>
            <w:tcW w:w="562" w:type="dxa"/>
          </w:tcPr>
          <w:p w14:paraId="38175250" w14:textId="30D60410" w:rsidR="00A413D3" w:rsidRPr="00A413D3" w:rsidRDefault="00A413D3" w:rsidP="00A413D3">
            <w:pPr>
              <w:rPr>
                <w:rFonts w:asciiTheme="minorHAnsi" w:hAnsiTheme="minorHAnsi" w:cstheme="minorHAnsi"/>
                <w:sz w:val="20"/>
                <w:szCs w:val="20"/>
              </w:rPr>
            </w:pPr>
            <w:r>
              <w:rPr>
                <w:rFonts w:asciiTheme="minorHAnsi" w:hAnsiTheme="minorHAnsi" w:cstheme="minorHAnsi"/>
                <w:sz w:val="20"/>
                <w:szCs w:val="20"/>
                <w:lang w:val="en"/>
              </w:rPr>
              <w:t>III</w:t>
            </w:r>
          </w:p>
        </w:tc>
        <w:tc>
          <w:tcPr>
            <w:tcW w:w="1701" w:type="dxa"/>
            <w:vAlign w:val="center"/>
          </w:tcPr>
          <w:p w14:paraId="3BDDA08D"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Countries with higher costs of maintenance and accommodation</w:t>
            </w:r>
          </w:p>
          <w:p w14:paraId="40651A2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p>
          <w:p w14:paraId="71BD9968" w14:textId="01A9880A" w:rsidR="00A413D3" w:rsidRPr="00A413D3" w:rsidRDefault="00A413D3" w:rsidP="00A413D3">
            <w:pPr>
              <w:jc w:val="center"/>
              <w:rPr>
                <w:rFonts w:asciiTheme="minorHAnsi" w:hAnsiTheme="minorHAnsi" w:cstheme="minorHAnsi"/>
                <w:sz w:val="20"/>
                <w:szCs w:val="20"/>
              </w:rPr>
            </w:pPr>
          </w:p>
        </w:tc>
        <w:tc>
          <w:tcPr>
            <w:tcW w:w="5529" w:type="dxa"/>
            <w:vAlign w:val="center"/>
          </w:tcPr>
          <w:p w14:paraId="198870F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Saudi Arabia, Australia, Bahrain, Brunei, China,</w:t>
            </w:r>
          </w:p>
          <w:p w14:paraId="22625DC4"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Denmark, Estonia, Finland, Iceland, Ireland, Hong Kong,</w:t>
            </w:r>
          </w:p>
          <w:p w14:paraId="32B3FE3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Japan, Canada, Qatar, Korea, Kuwait, Liechtenstein,</w:t>
            </w:r>
          </w:p>
          <w:p w14:paraId="3E2C9844"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Luxembourg, Macau, Mexico, Norway, New</w:t>
            </w:r>
          </w:p>
          <w:p w14:paraId="4FDA2E1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Zealand, Oman, Singapore, Sweden, Switzerland, Taiwan,</w:t>
            </w:r>
          </w:p>
          <w:p w14:paraId="0026E37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Faroe Islands, United Kingdom,</w:t>
            </w:r>
          </w:p>
          <w:p w14:paraId="11B31C87" w14:textId="6EF17EDB"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United Arab Emirates</w:t>
            </w:r>
          </w:p>
        </w:tc>
        <w:tc>
          <w:tcPr>
            <w:tcW w:w="1836" w:type="dxa"/>
            <w:vAlign w:val="center"/>
          </w:tcPr>
          <w:p w14:paraId="1F5A1055" w14:textId="457B4F8D"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500</w:t>
            </w:r>
          </w:p>
        </w:tc>
      </w:tr>
      <w:tr w:rsidR="00A413D3" w:rsidRPr="00A413D3" w14:paraId="3A332172" w14:textId="77777777" w:rsidTr="00A413D3">
        <w:trPr>
          <w:jc w:val="center"/>
        </w:trPr>
        <w:tc>
          <w:tcPr>
            <w:tcW w:w="562" w:type="dxa"/>
          </w:tcPr>
          <w:p w14:paraId="158BB1A8" w14:textId="03FC0DE7" w:rsidR="00A413D3" w:rsidRPr="00A413D3" w:rsidRDefault="00A413D3" w:rsidP="00A413D3">
            <w:pPr>
              <w:rPr>
                <w:rFonts w:asciiTheme="minorHAnsi" w:hAnsiTheme="minorHAnsi" w:cstheme="minorHAnsi"/>
                <w:sz w:val="20"/>
                <w:szCs w:val="20"/>
              </w:rPr>
            </w:pPr>
            <w:r>
              <w:rPr>
                <w:rFonts w:asciiTheme="minorHAnsi" w:hAnsiTheme="minorHAnsi" w:cstheme="minorHAnsi"/>
                <w:sz w:val="20"/>
                <w:szCs w:val="20"/>
                <w:lang w:val="en"/>
              </w:rPr>
              <w:t>IV</w:t>
            </w:r>
          </w:p>
        </w:tc>
        <w:tc>
          <w:tcPr>
            <w:tcW w:w="1701" w:type="dxa"/>
            <w:vAlign w:val="center"/>
          </w:tcPr>
          <w:p w14:paraId="2F9ABB9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Countries with the highest costs of maintenance and accommodation</w:t>
            </w:r>
          </w:p>
          <w:p w14:paraId="5E1B3000"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p>
          <w:p w14:paraId="540D46E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rPr>
            </w:pPr>
          </w:p>
          <w:p w14:paraId="2B2B4603" w14:textId="1C6673D3" w:rsidR="00A413D3" w:rsidRPr="00A413D3" w:rsidRDefault="00A413D3" w:rsidP="00A413D3">
            <w:pPr>
              <w:jc w:val="center"/>
              <w:rPr>
                <w:rFonts w:asciiTheme="minorHAnsi" w:hAnsiTheme="minorHAnsi" w:cstheme="minorHAnsi"/>
                <w:sz w:val="20"/>
                <w:szCs w:val="20"/>
              </w:rPr>
            </w:pPr>
          </w:p>
        </w:tc>
        <w:tc>
          <w:tcPr>
            <w:tcW w:w="5529" w:type="dxa"/>
            <w:vAlign w:val="center"/>
          </w:tcPr>
          <w:p w14:paraId="36299B9C" w14:textId="0660628E"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United States of America, Israel,</w:t>
            </w:r>
          </w:p>
        </w:tc>
        <w:tc>
          <w:tcPr>
            <w:tcW w:w="1836" w:type="dxa"/>
            <w:vAlign w:val="center"/>
          </w:tcPr>
          <w:p w14:paraId="75438430" w14:textId="754AD1D9" w:rsidR="00A413D3" w:rsidRPr="00A413D3" w:rsidRDefault="00A413D3" w:rsidP="00A413D3">
            <w:pPr>
              <w:jc w:val="center"/>
              <w:rPr>
                <w:rFonts w:asciiTheme="minorHAnsi" w:hAnsiTheme="minorHAnsi" w:cstheme="minorHAnsi"/>
                <w:sz w:val="20"/>
                <w:szCs w:val="20"/>
              </w:rPr>
            </w:pPr>
            <w:r>
              <w:rPr>
                <w:rFonts w:asciiTheme="minorHAnsi" w:hAnsiTheme="minorHAnsi" w:cstheme="minorHAnsi"/>
                <w:sz w:val="20"/>
                <w:szCs w:val="20"/>
                <w:lang w:val="en"/>
              </w:rPr>
              <w:t>700</w:t>
            </w:r>
          </w:p>
        </w:tc>
      </w:tr>
    </w:tbl>
    <w:p w14:paraId="12E144C0" w14:textId="50197027" w:rsidR="00A413D3" w:rsidRDefault="00A413D3" w:rsidP="00A413D3"/>
    <w:p w14:paraId="7AF06467" w14:textId="7348B442" w:rsidR="00A413D3" w:rsidRDefault="00A413D3" w:rsidP="00A413D3"/>
    <w:p w14:paraId="3BDB84F3" w14:textId="77777777" w:rsidR="00234FEF" w:rsidRDefault="00234FEF">
      <w:pPr>
        <w:spacing w:after="0" w:line="240" w:lineRule="auto"/>
      </w:pPr>
    </w:p>
    <w:p w14:paraId="58594302" w14:textId="77777777" w:rsidR="00234FEF" w:rsidRDefault="00234FEF">
      <w:pPr>
        <w:spacing w:after="0" w:line="240" w:lineRule="auto"/>
      </w:pPr>
    </w:p>
    <w:p w14:paraId="263C1CC7" w14:textId="77777777" w:rsidR="00234FEF" w:rsidRDefault="00234FEF">
      <w:pPr>
        <w:spacing w:after="0" w:line="240" w:lineRule="auto"/>
      </w:pPr>
    </w:p>
    <w:p w14:paraId="168B7DF6" w14:textId="77777777" w:rsidR="00234FEF" w:rsidRDefault="00234FEF">
      <w:pPr>
        <w:spacing w:after="0" w:line="240" w:lineRule="auto"/>
      </w:pPr>
    </w:p>
    <w:p w14:paraId="4A7C1835" w14:textId="77777777" w:rsidR="00234FEF" w:rsidRDefault="00234FEF">
      <w:pPr>
        <w:spacing w:after="0" w:line="240" w:lineRule="auto"/>
      </w:pPr>
    </w:p>
    <w:p w14:paraId="0A513C90" w14:textId="77777777" w:rsidR="00234FEF" w:rsidRDefault="00234FEF">
      <w:pPr>
        <w:spacing w:after="0" w:line="240" w:lineRule="auto"/>
      </w:pPr>
    </w:p>
    <w:p w14:paraId="65A44DE3" w14:textId="77777777" w:rsidR="00234FEF" w:rsidRDefault="00234FEF">
      <w:pPr>
        <w:spacing w:after="0" w:line="240" w:lineRule="auto"/>
      </w:pPr>
    </w:p>
    <w:p w14:paraId="344D4AE6" w14:textId="2C806D52" w:rsidR="00234FEF" w:rsidRDefault="00234FEF">
      <w:pPr>
        <w:spacing w:after="0" w:line="240" w:lineRule="auto"/>
      </w:pPr>
    </w:p>
    <w:p w14:paraId="55EEADCB" w14:textId="408E17C4" w:rsidR="0067271A" w:rsidRDefault="0067271A">
      <w:pPr>
        <w:spacing w:after="0" w:line="240" w:lineRule="auto"/>
      </w:pPr>
    </w:p>
    <w:p w14:paraId="26329DEF" w14:textId="77777777" w:rsidR="0067271A" w:rsidRDefault="0067271A">
      <w:pPr>
        <w:spacing w:after="0" w:line="240" w:lineRule="auto"/>
      </w:pPr>
    </w:p>
    <w:p w14:paraId="5439A2AD" w14:textId="4222B96A" w:rsidR="00234FEF" w:rsidRDefault="00234FEF">
      <w:pPr>
        <w:spacing w:after="0" w:line="240" w:lineRule="auto"/>
      </w:pPr>
    </w:p>
    <w:p w14:paraId="492FE6EE" w14:textId="52568C65" w:rsidR="00234FEF" w:rsidRPr="00234FEF" w:rsidRDefault="00234FEF" w:rsidP="00234FEF">
      <w:pPr>
        <w:spacing w:after="0" w:line="240" w:lineRule="auto"/>
        <w:jc w:val="center"/>
        <w:rPr>
          <w:rFonts w:asciiTheme="minorHAnsi" w:hAnsiTheme="minorHAnsi" w:cstheme="minorHAnsi"/>
          <w:b/>
          <w:bCs/>
        </w:rPr>
      </w:pPr>
      <w:r>
        <w:rPr>
          <w:rFonts w:asciiTheme="minorHAnsi" w:hAnsiTheme="minorHAnsi" w:cstheme="minorHAnsi"/>
          <w:b/>
          <w:bCs/>
          <w:lang w:val="en"/>
        </w:rPr>
        <w:t>FLAT RATE FOR TRAVEL EXPENSES</w:t>
      </w:r>
    </w:p>
    <w:p w14:paraId="47383718" w14:textId="3AE7A0B7" w:rsidR="00084A9D" w:rsidRDefault="00084A9D">
      <w:pPr>
        <w:spacing w:after="0" w:line="240" w:lineRule="auto"/>
      </w:pPr>
    </w:p>
    <w:tbl>
      <w:tblPr>
        <w:tblStyle w:val="Tabela-Siatka"/>
        <w:tblpPr w:leftFromText="141" w:rightFromText="141" w:vertAnchor="page" w:horzAnchor="margin" w:tblpY="3301"/>
        <w:tblW w:w="0" w:type="auto"/>
        <w:tblLook w:val="04A0" w:firstRow="1" w:lastRow="0" w:firstColumn="1" w:lastColumn="0" w:noHBand="0" w:noVBand="1"/>
      </w:tblPr>
      <w:tblGrid>
        <w:gridCol w:w="1413"/>
        <w:gridCol w:w="6520"/>
        <w:gridCol w:w="1695"/>
      </w:tblGrid>
      <w:tr w:rsidR="00084A9D" w:rsidRPr="00084A9D" w14:paraId="39C44107" w14:textId="77777777" w:rsidTr="00234FEF">
        <w:tc>
          <w:tcPr>
            <w:tcW w:w="1413" w:type="dxa"/>
            <w:vAlign w:val="center"/>
          </w:tcPr>
          <w:p w14:paraId="12732DA4" w14:textId="22DAE24D"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COUNTRY GROUP</w:t>
            </w:r>
          </w:p>
        </w:tc>
        <w:tc>
          <w:tcPr>
            <w:tcW w:w="6520" w:type="dxa"/>
            <w:vAlign w:val="center"/>
          </w:tcPr>
          <w:p w14:paraId="67AAAB97" w14:textId="6F152B78"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lang w:val="en"/>
              </w:rPr>
              <w:t>State</w:t>
            </w:r>
          </w:p>
        </w:tc>
        <w:tc>
          <w:tcPr>
            <w:tcW w:w="1695" w:type="dxa"/>
            <w:vAlign w:val="center"/>
          </w:tcPr>
          <w:p w14:paraId="1985B6D8" w14:textId="5FDB7218" w:rsidR="00084A9D" w:rsidRPr="00084A9D" w:rsidRDefault="00084A9D" w:rsidP="00234FEF">
            <w:pPr>
              <w:autoSpaceDE w:val="0"/>
              <w:autoSpaceDN w:val="0"/>
              <w:adjustRightInd w:val="0"/>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
              </w:rPr>
              <w:t>RATE IN PLN</w:t>
            </w:r>
          </w:p>
        </w:tc>
      </w:tr>
      <w:tr w:rsidR="00084A9D" w:rsidRPr="00084A9D" w14:paraId="4749A166" w14:textId="77777777" w:rsidTr="00234FEF">
        <w:tc>
          <w:tcPr>
            <w:tcW w:w="1413" w:type="dxa"/>
            <w:vAlign w:val="center"/>
          </w:tcPr>
          <w:p w14:paraId="38FF8B1A" w14:textId="359605F1"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1</w:t>
            </w:r>
          </w:p>
        </w:tc>
        <w:tc>
          <w:tcPr>
            <w:tcW w:w="6520" w:type="dxa"/>
            <w:vAlign w:val="center"/>
          </w:tcPr>
          <w:p w14:paraId="3E882AF4" w14:textId="5503CAA5"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Belarus, Lithuania</w:t>
            </w:r>
          </w:p>
        </w:tc>
        <w:tc>
          <w:tcPr>
            <w:tcW w:w="1695" w:type="dxa"/>
            <w:vAlign w:val="center"/>
          </w:tcPr>
          <w:p w14:paraId="08E4A990" w14:textId="6596A333"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lang w:val="en"/>
              </w:rPr>
              <w:t>1000</w:t>
            </w:r>
          </w:p>
        </w:tc>
      </w:tr>
      <w:tr w:rsidR="00084A9D" w:rsidRPr="00084A9D" w14:paraId="76C2A564" w14:textId="77777777" w:rsidTr="00234FEF">
        <w:tc>
          <w:tcPr>
            <w:tcW w:w="1413" w:type="dxa"/>
            <w:vAlign w:val="center"/>
          </w:tcPr>
          <w:p w14:paraId="6EC1A6B6" w14:textId="576ED14E"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2</w:t>
            </w:r>
          </w:p>
        </w:tc>
        <w:tc>
          <w:tcPr>
            <w:tcW w:w="6520" w:type="dxa"/>
            <w:vAlign w:val="center"/>
          </w:tcPr>
          <w:p w14:paraId="16257A19" w14:textId="70F05BA7"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Austria, Bosnia and Herzegovina, Croatia, Czechia, Denmark, Estonia, Finland, Latvia, Moldova, Germany, Romania, Serbia, Slovakia, Slovenia, Sweden, Ukraine, Hungary</w:t>
            </w:r>
          </w:p>
        </w:tc>
        <w:tc>
          <w:tcPr>
            <w:tcW w:w="1695" w:type="dxa"/>
            <w:vAlign w:val="center"/>
          </w:tcPr>
          <w:p w14:paraId="36C9CCCD" w14:textId="423524A1"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lang w:val="en"/>
              </w:rPr>
              <w:t>1500</w:t>
            </w:r>
          </w:p>
        </w:tc>
      </w:tr>
      <w:tr w:rsidR="00084A9D" w:rsidRPr="00084A9D" w14:paraId="34E91AFE" w14:textId="77777777" w:rsidTr="00234FEF">
        <w:tc>
          <w:tcPr>
            <w:tcW w:w="1413" w:type="dxa"/>
            <w:vAlign w:val="center"/>
          </w:tcPr>
          <w:p w14:paraId="244FF420" w14:textId="5160869C"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3</w:t>
            </w:r>
          </w:p>
        </w:tc>
        <w:tc>
          <w:tcPr>
            <w:tcW w:w="6520" w:type="dxa"/>
            <w:vAlign w:val="center"/>
          </w:tcPr>
          <w:p w14:paraId="2A5540C6" w14:textId="5B1CB105"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Albania, Andorra, Belgium, Bulgaria, Montenegro, France, Greece, the Netherlands, Ireland, Kosovo, Liechtenstein, Luxembourg, Macedonia, Malta, Monaco, Norway, San Marino, Switzerland, Tunisia, Turkey, Vatican, Great Britain, Italy</w:t>
            </w:r>
          </w:p>
        </w:tc>
        <w:tc>
          <w:tcPr>
            <w:tcW w:w="1695" w:type="dxa"/>
            <w:vAlign w:val="center"/>
          </w:tcPr>
          <w:p w14:paraId="23A2BAE8" w14:textId="512B58BC"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lang w:val="en"/>
              </w:rPr>
              <w:t>2000</w:t>
            </w:r>
          </w:p>
        </w:tc>
      </w:tr>
      <w:tr w:rsidR="00084A9D" w:rsidRPr="00084A9D" w14:paraId="5346B2D2" w14:textId="77777777" w:rsidTr="00234FEF">
        <w:tc>
          <w:tcPr>
            <w:tcW w:w="1413" w:type="dxa"/>
            <w:vAlign w:val="center"/>
          </w:tcPr>
          <w:p w14:paraId="6DBD4B67" w14:textId="7F18F060"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4</w:t>
            </w:r>
          </w:p>
        </w:tc>
        <w:tc>
          <w:tcPr>
            <w:tcW w:w="6520" w:type="dxa"/>
            <w:vAlign w:val="center"/>
          </w:tcPr>
          <w:p w14:paraId="1202930D" w14:textId="32846DA9"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Algeria, Saudi Arabia, Armenia, Azerbaijan, Bahrain, Cyprus, Egypt, Georgia, Spain, Iraq, Iran, Iceland, Israel, Jordan, Qatar, Kazakhstan, Kuwait, Lebanon, Libya, Morocco, Palestine, Portugal, Syria, Tajikistan, Turkmenistan, Uzbekistan</w:t>
            </w:r>
          </w:p>
        </w:tc>
        <w:tc>
          <w:tcPr>
            <w:tcW w:w="1695" w:type="dxa"/>
            <w:vAlign w:val="center"/>
          </w:tcPr>
          <w:p w14:paraId="07D00B1B" w14:textId="341A80A0"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lang w:val="en"/>
              </w:rPr>
              <w:t>3000</w:t>
            </w:r>
          </w:p>
        </w:tc>
      </w:tr>
      <w:tr w:rsidR="00084A9D" w:rsidRPr="00084A9D" w14:paraId="63244FEA" w14:textId="77777777" w:rsidTr="00234FEF">
        <w:tc>
          <w:tcPr>
            <w:tcW w:w="1413" w:type="dxa"/>
            <w:vAlign w:val="center"/>
          </w:tcPr>
          <w:p w14:paraId="5A46FBFA" w14:textId="7ACA8DAE"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5</w:t>
            </w:r>
          </w:p>
        </w:tc>
        <w:tc>
          <w:tcPr>
            <w:tcW w:w="6520" w:type="dxa"/>
            <w:vAlign w:val="center"/>
          </w:tcPr>
          <w:p w14:paraId="703D8FEB" w14:textId="47F3F98A"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Afghanistan, Benin, Bhutan, Burkina Faso, Burundi, Chad, Democratic Republic of Congo, Djibouti, Eritrea, Ethiopia, Gabon, Gambia, Ghana, Guinea, Guinea-Bissau, Equatorial Guinea, India, Yemen, Cameroon, Kenya, Kyrgyzstan, Congo, Liberia, Mali, Mauritania, Mongolia, Nepal, Niger, Nigeria, Oman, Pakistan, Central African Republic, Cape Verde, Rwanda, Senegal, Sierra Leone, Somalia, Sudan, South Sudan, Togo, Uganda, Côte d'Ivoire, São Tomé and Príncipe, United Arab Emirates</w:t>
            </w:r>
          </w:p>
        </w:tc>
        <w:tc>
          <w:tcPr>
            <w:tcW w:w="1695" w:type="dxa"/>
            <w:vAlign w:val="center"/>
          </w:tcPr>
          <w:p w14:paraId="04C70C02" w14:textId="525BFA83"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lang w:val="en"/>
              </w:rPr>
              <w:t>4500</w:t>
            </w:r>
          </w:p>
        </w:tc>
      </w:tr>
      <w:tr w:rsidR="00084A9D" w:rsidRPr="00084A9D" w14:paraId="73929FA3" w14:textId="77777777" w:rsidTr="00234FEF">
        <w:tc>
          <w:tcPr>
            <w:tcW w:w="1413" w:type="dxa"/>
            <w:vAlign w:val="center"/>
          </w:tcPr>
          <w:p w14:paraId="031A9DC7" w14:textId="47AA4153"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6</w:t>
            </w:r>
          </w:p>
        </w:tc>
        <w:tc>
          <w:tcPr>
            <w:tcW w:w="6520" w:type="dxa"/>
            <w:vAlign w:val="center"/>
          </w:tcPr>
          <w:p w14:paraId="2F237FA2" w14:textId="483C30CD" w:rsidR="00084A9D" w:rsidRPr="00084A9D" w:rsidRDefault="00084A9D" w:rsidP="00234FEF">
            <w:pPr>
              <w:jc w:val="center"/>
              <w:rPr>
                <w:rFonts w:asciiTheme="minorHAnsi" w:hAnsiTheme="minorHAnsi" w:cstheme="minorHAnsi"/>
                <w:sz w:val="20"/>
                <w:szCs w:val="20"/>
              </w:rPr>
            </w:pPr>
            <w:r>
              <w:rPr>
                <w:rFonts w:asciiTheme="minorHAnsi" w:hAnsiTheme="minorHAnsi" w:cstheme="minorHAnsi"/>
                <w:sz w:val="20"/>
                <w:szCs w:val="20"/>
                <w:lang w:val="en"/>
              </w:rPr>
              <w:t>Angola, Antigua and Barbuda, Argentina, Australia, Bahamas, Bangladesh, Barbados, Belize, Bolivia, Botswana, Brazil, Brunei, Chile, China, Dominica, Dominican Republic, Ecuador, Eswatini, Fiji, Philippines, Grenada, Guyana, Guatemala, Haiti, Honduras, Indonesia, Jamaica, Japan, Cambodia, Canada, Kiribati, Colombia, Comoros, South Korea, North Korea, Costa Rica, Cuba, Laos, Lesotho, Madagascar, Malawi, Maldives, Malaysia, Mauritius, Mexico, Micronesia, Myanmar, Mozambique, Namibia, Nauru, Nicaragua, New Zealand, Palau, Panama, Papua New Guinea, Paraguay, Peru, South Africa, Saint Kitts and Nevis, Saint Lucia, Saint Vincent and the Grenadines, El Salvador, Samoa, Seychelles, Singapore, Sri Lanka, United States, Suriname, Taiwan, Tanzania</w:t>
            </w:r>
          </w:p>
        </w:tc>
        <w:tc>
          <w:tcPr>
            <w:tcW w:w="1695" w:type="dxa"/>
            <w:vAlign w:val="center"/>
          </w:tcPr>
          <w:p w14:paraId="7FE4475C" w14:textId="2F6905D9"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lang w:val="en"/>
              </w:rPr>
              <w:t>6500</w:t>
            </w:r>
          </w:p>
        </w:tc>
      </w:tr>
    </w:tbl>
    <w:p w14:paraId="7130B543" w14:textId="1A318C90" w:rsidR="00A413D3" w:rsidRDefault="00A413D3" w:rsidP="00A413D3"/>
    <w:p w14:paraId="79EA2E6D" w14:textId="77777777" w:rsidR="00234FEF" w:rsidRPr="00A413D3" w:rsidRDefault="00234FEF" w:rsidP="00A413D3"/>
    <w:sectPr w:rsidR="00234FEF" w:rsidRPr="00A413D3" w:rsidSect="00A0569E">
      <w:headerReference w:type="even" r:id="rId8"/>
      <w:headerReference w:type="default" r:id="rId9"/>
      <w:footerReference w:type="default" r:id="rId10"/>
      <w:headerReference w:type="first" r:id="rId11"/>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7C42EC">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lang w:val="en"/>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7C42EC">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B0D64"/>
    <w:multiLevelType w:val="hybridMultilevel"/>
    <w:tmpl w:val="FDA2C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46BD162B"/>
    <w:multiLevelType w:val="hybridMultilevel"/>
    <w:tmpl w:val="7D48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C1E559C"/>
    <w:multiLevelType w:val="hybridMultilevel"/>
    <w:tmpl w:val="075CD69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6"/>
  </w:num>
  <w:num w:numId="7">
    <w:abstractNumId w:val="9"/>
  </w:num>
  <w:num w:numId="8">
    <w:abstractNumId w:val="5"/>
  </w:num>
  <w:num w:numId="9">
    <w:abstractNumId w:val="13"/>
  </w:num>
  <w:num w:numId="10">
    <w:abstractNumId w:val="6"/>
  </w:num>
  <w:num w:numId="11">
    <w:abstractNumId w:val="1"/>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84A9D"/>
    <w:rsid w:val="000C21B2"/>
    <w:rsid w:val="000C2BA4"/>
    <w:rsid w:val="000C5ABC"/>
    <w:rsid w:val="000D0E9D"/>
    <w:rsid w:val="000F45C9"/>
    <w:rsid w:val="00116F86"/>
    <w:rsid w:val="001520BC"/>
    <w:rsid w:val="0015522D"/>
    <w:rsid w:val="00186CA3"/>
    <w:rsid w:val="001902EC"/>
    <w:rsid w:val="001A24D7"/>
    <w:rsid w:val="001A6527"/>
    <w:rsid w:val="001B1AC0"/>
    <w:rsid w:val="001C22E5"/>
    <w:rsid w:val="001C2D42"/>
    <w:rsid w:val="00200A27"/>
    <w:rsid w:val="00204948"/>
    <w:rsid w:val="00234FEF"/>
    <w:rsid w:val="002441EA"/>
    <w:rsid w:val="002A50F6"/>
    <w:rsid w:val="002B3B39"/>
    <w:rsid w:val="002B75EB"/>
    <w:rsid w:val="002D2F12"/>
    <w:rsid w:val="002D64F0"/>
    <w:rsid w:val="00304F10"/>
    <w:rsid w:val="00321B53"/>
    <w:rsid w:val="00354EEE"/>
    <w:rsid w:val="003843B1"/>
    <w:rsid w:val="00390736"/>
    <w:rsid w:val="003D5D62"/>
    <w:rsid w:val="003E3BDD"/>
    <w:rsid w:val="004219D5"/>
    <w:rsid w:val="00443AF6"/>
    <w:rsid w:val="00444ADD"/>
    <w:rsid w:val="00457F1D"/>
    <w:rsid w:val="00486797"/>
    <w:rsid w:val="004A6848"/>
    <w:rsid w:val="004B0AA1"/>
    <w:rsid w:val="004C7FAC"/>
    <w:rsid w:val="004E3C56"/>
    <w:rsid w:val="004E442B"/>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D63CD"/>
    <w:rsid w:val="005E356A"/>
    <w:rsid w:val="005E7B56"/>
    <w:rsid w:val="00654E87"/>
    <w:rsid w:val="0067271A"/>
    <w:rsid w:val="006763A8"/>
    <w:rsid w:val="00694D0D"/>
    <w:rsid w:val="006B318B"/>
    <w:rsid w:val="006D00BF"/>
    <w:rsid w:val="006D4BDD"/>
    <w:rsid w:val="006F054D"/>
    <w:rsid w:val="006F3CF0"/>
    <w:rsid w:val="00704511"/>
    <w:rsid w:val="007413DE"/>
    <w:rsid w:val="00747C84"/>
    <w:rsid w:val="00753946"/>
    <w:rsid w:val="00765CD8"/>
    <w:rsid w:val="00783DFB"/>
    <w:rsid w:val="00796BEA"/>
    <w:rsid w:val="007B1224"/>
    <w:rsid w:val="007C42EC"/>
    <w:rsid w:val="007E4CD3"/>
    <w:rsid w:val="007E7CB0"/>
    <w:rsid w:val="007F672B"/>
    <w:rsid w:val="00812BCD"/>
    <w:rsid w:val="00822224"/>
    <w:rsid w:val="008310A7"/>
    <w:rsid w:val="00845B0F"/>
    <w:rsid w:val="00886073"/>
    <w:rsid w:val="00886890"/>
    <w:rsid w:val="009471E2"/>
    <w:rsid w:val="00957599"/>
    <w:rsid w:val="00990BD3"/>
    <w:rsid w:val="009D3F4A"/>
    <w:rsid w:val="00A0569E"/>
    <w:rsid w:val="00A15899"/>
    <w:rsid w:val="00A342DA"/>
    <w:rsid w:val="00A413D3"/>
    <w:rsid w:val="00A65E97"/>
    <w:rsid w:val="00A96434"/>
    <w:rsid w:val="00A97EFB"/>
    <w:rsid w:val="00AA68B9"/>
    <w:rsid w:val="00AD1DEF"/>
    <w:rsid w:val="00AD6E43"/>
    <w:rsid w:val="00AE0FC0"/>
    <w:rsid w:val="00AF6E83"/>
    <w:rsid w:val="00B01096"/>
    <w:rsid w:val="00B10E6C"/>
    <w:rsid w:val="00B16EC9"/>
    <w:rsid w:val="00B21F6D"/>
    <w:rsid w:val="00B54D1F"/>
    <w:rsid w:val="00B63145"/>
    <w:rsid w:val="00B73B67"/>
    <w:rsid w:val="00B7487D"/>
    <w:rsid w:val="00B809E7"/>
    <w:rsid w:val="00B81993"/>
    <w:rsid w:val="00B84F51"/>
    <w:rsid w:val="00B945EF"/>
    <w:rsid w:val="00BB6361"/>
    <w:rsid w:val="00BC2D28"/>
    <w:rsid w:val="00BC3BB7"/>
    <w:rsid w:val="00BE4B4C"/>
    <w:rsid w:val="00C73647"/>
    <w:rsid w:val="00CF25D2"/>
    <w:rsid w:val="00D1593F"/>
    <w:rsid w:val="00D559D3"/>
    <w:rsid w:val="00D61394"/>
    <w:rsid w:val="00D65CB7"/>
    <w:rsid w:val="00DC0AF7"/>
    <w:rsid w:val="00DC1639"/>
    <w:rsid w:val="00DE7AD1"/>
    <w:rsid w:val="00E2031A"/>
    <w:rsid w:val="00E366AA"/>
    <w:rsid w:val="00E40D7E"/>
    <w:rsid w:val="00E578F1"/>
    <w:rsid w:val="00E57DC0"/>
    <w:rsid w:val="00E62CDB"/>
    <w:rsid w:val="00E7441E"/>
    <w:rsid w:val="00E80F4C"/>
    <w:rsid w:val="00EA3288"/>
    <w:rsid w:val="00ED376C"/>
    <w:rsid w:val="00EE380D"/>
    <w:rsid w:val="00F009C5"/>
    <w:rsid w:val="00F1351F"/>
    <w:rsid w:val="00F14D10"/>
    <w:rsid w:val="00F464F5"/>
    <w:rsid w:val="00F71106"/>
    <w:rsid w:val="00F75FA9"/>
    <w:rsid w:val="00F84EF3"/>
    <w:rsid w:val="00F97013"/>
    <w:rsid w:val="00FA7B02"/>
    <w:rsid w:val="00FC61C0"/>
    <w:rsid w:val="00FD2C72"/>
    <w:rsid w:val="00FE1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6AA"/>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aliases w:val="Podrozdział,Footnote,Podrozdzia3"/>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5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 w:type="paragraph" w:customStyle="1" w:styleId="Standard">
    <w:name w:val="Standard"/>
    <w:rsid w:val="001A24D7"/>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styleId="Bezodstpw">
    <w:name w:val="No Spacing"/>
    <w:uiPriority w:val="1"/>
    <w:qFormat/>
    <w:rsid w:val="00FA7B02"/>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3925">
      <w:bodyDiv w:val="1"/>
      <w:marLeft w:val="0"/>
      <w:marRight w:val="0"/>
      <w:marTop w:val="0"/>
      <w:marBottom w:val="0"/>
      <w:divBdr>
        <w:top w:val="none" w:sz="0" w:space="0" w:color="auto"/>
        <w:left w:val="none" w:sz="0" w:space="0" w:color="auto"/>
        <w:bottom w:val="none" w:sz="0" w:space="0" w:color="auto"/>
        <w:right w:val="none" w:sz="0" w:space="0" w:color="auto"/>
      </w:divBdr>
    </w:div>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152674172">
      <w:bodyDiv w:val="1"/>
      <w:marLeft w:val="0"/>
      <w:marRight w:val="0"/>
      <w:marTop w:val="0"/>
      <w:marBottom w:val="0"/>
      <w:divBdr>
        <w:top w:val="none" w:sz="0" w:space="0" w:color="auto"/>
        <w:left w:val="none" w:sz="0" w:space="0" w:color="auto"/>
        <w:bottom w:val="none" w:sz="0" w:space="0" w:color="auto"/>
        <w:right w:val="none" w:sz="0" w:space="0" w:color="auto"/>
      </w:divBdr>
    </w:div>
    <w:div w:id="1286765664">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2841</Characters>
  <Application>Microsoft Office Word</Application>
  <DocSecurity>4</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3248</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Tomasz Puszer</cp:lastModifiedBy>
  <cp:revision>2</cp:revision>
  <cp:lastPrinted>2025-01-21T13:05:00Z</cp:lastPrinted>
  <dcterms:created xsi:type="dcterms:W3CDTF">2025-02-27T11:24:00Z</dcterms:created>
  <dcterms:modified xsi:type="dcterms:W3CDTF">2025-02-27T11:24:00Z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