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44" w:rsidRDefault="00237244" w:rsidP="00432860">
      <w:pPr>
        <w:spacing w:after="0" w:line="240" w:lineRule="auto"/>
        <w:jc w:val="center"/>
        <w:rPr>
          <w:rFonts w:ascii="Times New Roman" w:hAnsi="Times New Roman" w:cs="Times New Roman"/>
          <w:b/>
          <w:color w:val="4472C4" w:themeColor="accent5"/>
          <w:sz w:val="32"/>
          <w:szCs w:val="32"/>
        </w:rPr>
      </w:pPr>
      <w:bookmarkStart w:id="0" w:name="_GoBack"/>
      <w:bookmarkEnd w:id="0"/>
      <w:r>
        <w:rPr>
          <w:rFonts w:ascii="Times New Roman" w:hAnsi="Times New Roman" w:cs="Times New Roman"/>
          <w:b/>
          <w:color w:val="4472C4" w:themeColor="accent5"/>
          <w:sz w:val="32"/>
          <w:szCs w:val="32"/>
        </w:rPr>
        <w:t>FILOLOGIA POLSKA I STOPIEŃ</w:t>
      </w:r>
    </w:p>
    <w:p w:rsidR="009E19FD" w:rsidRPr="00AD3341" w:rsidRDefault="009E19FD" w:rsidP="00432860">
      <w:pPr>
        <w:spacing w:after="0" w:line="240" w:lineRule="auto"/>
        <w:jc w:val="center"/>
        <w:rPr>
          <w:rFonts w:ascii="Times New Roman" w:hAnsi="Times New Roman" w:cs="Times New Roman"/>
          <w:b/>
          <w:color w:val="4472C4" w:themeColor="accent5"/>
          <w:sz w:val="32"/>
          <w:szCs w:val="32"/>
        </w:rPr>
      </w:pPr>
      <w:r w:rsidRPr="00AD3341">
        <w:rPr>
          <w:rFonts w:ascii="Times New Roman" w:hAnsi="Times New Roman" w:cs="Times New Roman"/>
          <w:b/>
          <w:color w:val="4472C4" w:themeColor="accent5"/>
          <w:sz w:val="32"/>
          <w:szCs w:val="32"/>
        </w:rPr>
        <w:t>LITERATURA NA ŚWIECIE –</w:t>
      </w:r>
    </w:p>
    <w:p w:rsidR="009E19FD" w:rsidRPr="009E19FD" w:rsidRDefault="009E19FD" w:rsidP="00432860">
      <w:pPr>
        <w:spacing w:after="0" w:line="240" w:lineRule="auto"/>
        <w:jc w:val="center"/>
        <w:rPr>
          <w:rFonts w:ascii="Times New Roman" w:hAnsi="Times New Roman" w:cs="Times New Roman"/>
          <w:b/>
          <w:color w:val="4472C4" w:themeColor="accent5"/>
          <w:sz w:val="32"/>
          <w:szCs w:val="32"/>
        </w:rPr>
      </w:pPr>
      <w:r w:rsidRPr="009E19FD">
        <w:rPr>
          <w:rFonts w:ascii="Times New Roman" w:hAnsi="Times New Roman" w:cs="Times New Roman"/>
          <w:b/>
          <w:color w:val="4472C4" w:themeColor="accent5"/>
          <w:sz w:val="32"/>
          <w:szCs w:val="32"/>
        </w:rPr>
        <w:t>WYKŁADY MONOGRAFICZNE</w:t>
      </w:r>
    </w:p>
    <w:p w:rsidR="009E19FD" w:rsidRPr="009E19FD" w:rsidRDefault="009E19FD" w:rsidP="00432860">
      <w:pPr>
        <w:spacing w:after="0" w:line="240" w:lineRule="auto"/>
        <w:jc w:val="center"/>
        <w:rPr>
          <w:rFonts w:ascii="Times New Roman" w:hAnsi="Times New Roman" w:cs="Times New Roman"/>
          <w:b/>
          <w:color w:val="4472C4" w:themeColor="accent5"/>
          <w:sz w:val="32"/>
          <w:szCs w:val="32"/>
        </w:rPr>
      </w:pPr>
      <w:r w:rsidRPr="009E19FD">
        <w:rPr>
          <w:rFonts w:ascii="Times New Roman" w:hAnsi="Times New Roman" w:cs="Times New Roman"/>
          <w:b/>
          <w:color w:val="4472C4" w:themeColor="accent5"/>
          <w:sz w:val="32"/>
          <w:szCs w:val="32"/>
        </w:rPr>
        <w:t>(1 SEMESTR, III ROK, 30 G.)</w:t>
      </w:r>
    </w:p>
    <w:p w:rsidR="009E19FD" w:rsidRPr="00AD3341" w:rsidRDefault="009E19FD" w:rsidP="00432860">
      <w:pPr>
        <w:pStyle w:val="Akapitzlist"/>
        <w:spacing w:after="0" w:line="240" w:lineRule="auto"/>
        <w:jc w:val="center"/>
        <w:rPr>
          <w:rFonts w:ascii="Times New Roman" w:hAnsi="Times New Roman" w:cs="Times New Roman"/>
          <w:b/>
          <w:sz w:val="32"/>
          <w:szCs w:val="32"/>
        </w:rPr>
      </w:pPr>
    </w:p>
    <w:p w:rsidR="001E69B5" w:rsidRDefault="001E69B5" w:rsidP="00432860">
      <w:pPr>
        <w:shd w:val="clear" w:color="auto" w:fill="FFFFFF"/>
        <w:spacing w:after="0" w:line="240" w:lineRule="auto"/>
        <w:jc w:val="both"/>
        <w:rPr>
          <w:rFonts w:ascii="Times New Roman" w:hAnsi="Times New Roman" w:cs="Times New Roman"/>
          <w:b/>
          <w:color w:val="4472C4" w:themeColor="accent5"/>
          <w:sz w:val="24"/>
          <w:szCs w:val="24"/>
        </w:rPr>
      </w:pPr>
    </w:p>
    <w:p w:rsidR="00432860" w:rsidRPr="001E69B5" w:rsidRDefault="009E19FD" w:rsidP="00432860">
      <w:pPr>
        <w:shd w:val="clear" w:color="auto" w:fill="FFFFFF"/>
        <w:spacing w:after="0" w:line="240" w:lineRule="auto"/>
        <w:jc w:val="both"/>
        <w:rPr>
          <w:rFonts w:ascii="Times New Roman" w:eastAsia="Calibri" w:hAnsi="Times New Roman" w:cs="Times New Roman"/>
          <w:b/>
          <w:i/>
          <w:color w:val="4472C4" w:themeColor="accent5"/>
          <w:sz w:val="24"/>
          <w:szCs w:val="24"/>
          <w:shd w:val="clear" w:color="auto" w:fill="F1F0F0"/>
        </w:rPr>
      </w:pPr>
      <w:r w:rsidRPr="00DB0085">
        <w:rPr>
          <w:rFonts w:ascii="Times New Roman" w:hAnsi="Times New Roman" w:cs="Times New Roman"/>
          <w:b/>
          <w:color w:val="4472C4" w:themeColor="accent5"/>
          <w:sz w:val="24"/>
          <w:szCs w:val="24"/>
        </w:rPr>
        <w:t xml:space="preserve">dr hab. Wojciech </w:t>
      </w:r>
      <w:proofErr w:type="spellStart"/>
      <w:r w:rsidRPr="00DB0085">
        <w:rPr>
          <w:rFonts w:ascii="Times New Roman" w:hAnsi="Times New Roman" w:cs="Times New Roman"/>
          <w:b/>
          <w:color w:val="4472C4" w:themeColor="accent5"/>
          <w:sz w:val="24"/>
          <w:szCs w:val="24"/>
        </w:rPr>
        <w:t>Śmieja</w:t>
      </w:r>
      <w:proofErr w:type="spellEnd"/>
      <w:r w:rsidRPr="00DB0085">
        <w:rPr>
          <w:rFonts w:ascii="Times New Roman" w:hAnsi="Times New Roman" w:cs="Times New Roman"/>
          <w:b/>
          <w:color w:val="4472C4" w:themeColor="accent5"/>
          <w:sz w:val="24"/>
          <w:szCs w:val="24"/>
        </w:rPr>
        <w:t xml:space="preserve">: </w:t>
      </w:r>
      <w:r w:rsidR="00432860" w:rsidRPr="001E69B5">
        <w:rPr>
          <w:rFonts w:ascii="Times New Roman" w:eastAsia="Calibri" w:hAnsi="Times New Roman" w:cs="Times New Roman"/>
          <w:b/>
          <w:i/>
          <w:color w:val="4472C4" w:themeColor="accent5"/>
          <w:sz w:val="24"/>
          <w:szCs w:val="24"/>
          <w:shd w:val="clear" w:color="auto" w:fill="FFFFFF"/>
        </w:rPr>
        <w:t>Literatura XIX i XX wieku wobec dysk</w:t>
      </w:r>
      <w:r w:rsidR="00A704FF">
        <w:rPr>
          <w:rFonts w:ascii="Times New Roman" w:eastAsia="Calibri" w:hAnsi="Times New Roman" w:cs="Times New Roman"/>
          <w:b/>
          <w:i/>
          <w:color w:val="4472C4" w:themeColor="accent5"/>
          <w:sz w:val="24"/>
          <w:szCs w:val="24"/>
          <w:shd w:val="clear" w:color="auto" w:fill="FFFFFF"/>
        </w:rPr>
        <w:t xml:space="preserve">ursów płciowej i seksualnej </w:t>
      </w:r>
      <w:proofErr w:type="spellStart"/>
      <w:r w:rsidR="00A704FF">
        <w:rPr>
          <w:rFonts w:ascii="Times New Roman" w:eastAsia="Calibri" w:hAnsi="Times New Roman" w:cs="Times New Roman"/>
          <w:b/>
          <w:i/>
          <w:color w:val="4472C4" w:themeColor="accent5"/>
          <w:sz w:val="24"/>
          <w:szCs w:val="24"/>
          <w:shd w:val="clear" w:color="auto" w:fill="FFFFFF"/>
        </w:rPr>
        <w:t>nie</w:t>
      </w:r>
      <w:r w:rsidR="00432860" w:rsidRPr="001E69B5">
        <w:rPr>
          <w:rFonts w:ascii="Times New Roman" w:eastAsia="Calibri" w:hAnsi="Times New Roman" w:cs="Times New Roman"/>
          <w:b/>
          <w:i/>
          <w:color w:val="4472C4" w:themeColor="accent5"/>
          <w:sz w:val="24"/>
          <w:szCs w:val="24"/>
          <w:shd w:val="clear" w:color="auto" w:fill="FFFFFF"/>
        </w:rPr>
        <w:t>normatywności</w:t>
      </w:r>
      <w:proofErr w:type="spellEnd"/>
    </w:p>
    <w:p w:rsidR="00432860" w:rsidRPr="001E69B5" w:rsidRDefault="00432860" w:rsidP="00432860">
      <w:pPr>
        <w:shd w:val="clear" w:color="auto" w:fill="FFFFFF"/>
        <w:spacing w:after="0" w:line="240" w:lineRule="auto"/>
        <w:jc w:val="both"/>
        <w:rPr>
          <w:rFonts w:ascii="Times New Roman" w:eastAsia="Calibri" w:hAnsi="Times New Roman" w:cs="Times New Roman"/>
          <w:i/>
          <w:color w:val="4472C4" w:themeColor="accent5"/>
          <w:sz w:val="24"/>
          <w:szCs w:val="24"/>
          <w:shd w:val="clear" w:color="auto" w:fill="F1F0F0"/>
        </w:rPr>
      </w:pPr>
      <w:r w:rsidRPr="00432860">
        <w:rPr>
          <w:rFonts w:ascii="Times New Roman" w:eastAsia="Calibri" w:hAnsi="Times New Roman" w:cs="Times New Roman"/>
          <w:color w:val="444950"/>
          <w:sz w:val="24"/>
          <w:szCs w:val="24"/>
          <w:shd w:val="clear" w:color="auto" w:fill="FFFFFF"/>
        </w:rPr>
        <w:t>Seksualność i płciowość są, jak wiemy, m.in.</w:t>
      </w:r>
      <w:r w:rsidR="001E69B5">
        <w:rPr>
          <w:rFonts w:ascii="Times New Roman" w:eastAsia="Calibri" w:hAnsi="Times New Roman" w:cs="Times New Roman"/>
          <w:color w:val="444950"/>
          <w:sz w:val="24"/>
          <w:szCs w:val="24"/>
          <w:shd w:val="clear" w:color="auto" w:fill="FFFFFF"/>
        </w:rPr>
        <w:t xml:space="preserve"> od Michela Foucaulta, jednymi </w:t>
      </w:r>
      <w:r w:rsidRPr="00432860">
        <w:rPr>
          <w:rFonts w:ascii="Times New Roman" w:eastAsia="Calibri" w:hAnsi="Times New Roman" w:cs="Times New Roman"/>
          <w:color w:val="444950"/>
          <w:sz w:val="24"/>
          <w:szCs w:val="24"/>
          <w:shd w:val="clear" w:color="auto" w:fill="FFFFFF"/>
        </w:rPr>
        <w:t xml:space="preserve">z najważniejszych dyskursów Nowoczesności. Europejska </w:t>
      </w:r>
      <w:proofErr w:type="spellStart"/>
      <w:r w:rsidRPr="00432860">
        <w:rPr>
          <w:rFonts w:ascii="Times New Roman" w:eastAsia="Calibri" w:hAnsi="Times New Roman" w:cs="Times New Roman"/>
          <w:i/>
          <w:color w:val="444950"/>
          <w:sz w:val="24"/>
          <w:szCs w:val="24"/>
          <w:shd w:val="clear" w:color="auto" w:fill="FFFFFF"/>
        </w:rPr>
        <w:t>scientia</w:t>
      </w:r>
      <w:proofErr w:type="spellEnd"/>
      <w:r w:rsidRPr="00432860">
        <w:rPr>
          <w:rFonts w:ascii="Times New Roman" w:eastAsia="Calibri" w:hAnsi="Times New Roman" w:cs="Times New Roman"/>
          <w:i/>
          <w:color w:val="444950"/>
          <w:sz w:val="24"/>
          <w:szCs w:val="24"/>
          <w:shd w:val="clear" w:color="auto" w:fill="FFFFFF"/>
        </w:rPr>
        <w:t xml:space="preserve"> </w:t>
      </w:r>
      <w:proofErr w:type="spellStart"/>
      <w:r w:rsidRPr="00432860">
        <w:rPr>
          <w:rFonts w:ascii="Times New Roman" w:eastAsia="Calibri" w:hAnsi="Times New Roman" w:cs="Times New Roman"/>
          <w:i/>
          <w:color w:val="444950"/>
          <w:sz w:val="24"/>
          <w:szCs w:val="24"/>
          <w:shd w:val="clear" w:color="auto" w:fill="FFFFFF"/>
        </w:rPr>
        <w:t>sexualis</w:t>
      </w:r>
      <w:proofErr w:type="spellEnd"/>
      <w:r w:rsidRPr="00432860">
        <w:rPr>
          <w:rFonts w:ascii="Times New Roman" w:eastAsia="Calibri" w:hAnsi="Times New Roman" w:cs="Times New Roman"/>
          <w:i/>
          <w:color w:val="444950"/>
          <w:sz w:val="24"/>
          <w:szCs w:val="24"/>
          <w:shd w:val="clear" w:color="auto" w:fill="FFFFFF"/>
        </w:rPr>
        <w:t xml:space="preserve"> </w:t>
      </w:r>
      <w:r w:rsidRPr="00432860">
        <w:rPr>
          <w:rFonts w:ascii="Times New Roman" w:eastAsia="Calibri" w:hAnsi="Times New Roman" w:cs="Times New Roman"/>
          <w:color w:val="444950"/>
          <w:sz w:val="24"/>
          <w:szCs w:val="24"/>
          <w:shd w:val="clear" w:color="auto" w:fill="FFFFFF"/>
        </w:rPr>
        <w:t xml:space="preserve">rodzi się w połowie XIX wieku za sprawą takich lekarzy jak Richard von </w:t>
      </w:r>
      <w:proofErr w:type="spellStart"/>
      <w:r w:rsidRPr="00432860">
        <w:rPr>
          <w:rFonts w:ascii="Times New Roman" w:eastAsia="Calibri" w:hAnsi="Times New Roman" w:cs="Times New Roman"/>
          <w:color w:val="444950"/>
          <w:sz w:val="24"/>
          <w:szCs w:val="24"/>
          <w:shd w:val="clear" w:color="auto" w:fill="FFFFFF"/>
        </w:rPr>
        <w:t>Krafft-Ebing</w:t>
      </w:r>
      <w:proofErr w:type="spellEnd"/>
      <w:r w:rsidRPr="00432860">
        <w:rPr>
          <w:rFonts w:ascii="Times New Roman" w:eastAsia="Calibri" w:hAnsi="Times New Roman" w:cs="Times New Roman"/>
          <w:color w:val="444950"/>
          <w:sz w:val="24"/>
          <w:szCs w:val="24"/>
          <w:shd w:val="clear" w:color="auto" w:fill="FFFFFF"/>
        </w:rPr>
        <w:t>. Jej głównym za</w:t>
      </w:r>
      <w:r w:rsidR="00A704FF">
        <w:rPr>
          <w:rFonts w:ascii="Times New Roman" w:eastAsia="Calibri" w:hAnsi="Times New Roman" w:cs="Times New Roman"/>
          <w:color w:val="444950"/>
          <w:sz w:val="24"/>
          <w:szCs w:val="24"/>
          <w:shd w:val="clear" w:color="auto" w:fill="FFFFFF"/>
        </w:rPr>
        <w:t>daniem jest nakreślanie granic „normy”</w:t>
      </w:r>
      <w:r w:rsidRPr="00432860">
        <w:rPr>
          <w:rFonts w:ascii="Times New Roman" w:eastAsia="Calibri" w:hAnsi="Times New Roman" w:cs="Times New Roman"/>
          <w:color w:val="444950"/>
          <w:sz w:val="24"/>
          <w:szCs w:val="24"/>
          <w:shd w:val="clear" w:color="auto" w:fill="FFFFFF"/>
        </w:rPr>
        <w:t xml:space="preserve"> (poprzez nieust</w:t>
      </w:r>
      <w:r w:rsidR="00A704FF">
        <w:rPr>
          <w:rFonts w:ascii="Times New Roman" w:eastAsia="Calibri" w:hAnsi="Times New Roman" w:cs="Times New Roman"/>
          <w:color w:val="444950"/>
          <w:sz w:val="24"/>
          <w:szCs w:val="24"/>
          <w:shd w:val="clear" w:color="auto" w:fill="FFFFFF"/>
        </w:rPr>
        <w:t>anne wskazywanie tego, co „nienormatywne”</w:t>
      </w:r>
      <w:r w:rsidRPr="00432860">
        <w:rPr>
          <w:rFonts w:ascii="Times New Roman" w:eastAsia="Calibri" w:hAnsi="Times New Roman" w:cs="Times New Roman"/>
          <w:color w:val="444950"/>
          <w:sz w:val="24"/>
          <w:szCs w:val="24"/>
          <w:shd w:val="clear" w:color="auto" w:fill="FFFFFF"/>
        </w:rPr>
        <w:t xml:space="preserve">) i podporządkowywanie pragnień </w:t>
      </w:r>
      <w:proofErr w:type="spellStart"/>
      <w:r w:rsidRPr="00432860">
        <w:rPr>
          <w:rFonts w:ascii="Times New Roman" w:eastAsia="Calibri" w:hAnsi="Times New Roman" w:cs="Times New Roman"/>
          <w:color w:val="444950"/>
          <w:sz w:val="24"/>
          <w:szCs w:val="24"/>
          <w:shd w:val="clear" w:color="auto" w:fill="FFFFFF"/>
        </w:rPr>
        <w:t>biopolitycznym</w:t>
      </w:r>
      <w:proofErr w:type="spellEnd"/>
      <w:r w:rsidRPr="00432860">
        <w:rPr>
          <w:rFonts w:ascii="Times New Roman" w:eastAsia="Calibri" w:hAnsi="Times New Roman" w:cs="Times New Roman"/>
          <w:color w:val="444950"/>
          <w:sz w:val="24"/>
          <w:szCs w:val="24"/>
          <w:shd w:val="clear" w:color="auto" w:fill="FFFFFF"/>
        </w:rPr>
        <w:t xml:space="preserve"> dyrektywom państwa, narodu, kościoła, kapitału, etc. Presja normatywu i </w:t>
      </w:r>
      <w:proofErr w:type="spellStart"/>
      <w:r w:rsidRPr="00432860">
        <w:rPr>
          <w:rFonts w:ascii="Times New Roman" w:eastAsia="Calibri" w:hAnsi="Times New Roman" w:cs="Times New Roman"/>
          <w:color w:val="444950"/>
          <w:sz w:val="24"/>
          <w:szCs w:val="24"/>
          <w:shd w:val="clear" w:color="auto" w:fill="FFFFFF"/>
        </w:rPr>
        <w:t>biopolitycznego</w:t>
      </w:r>
      <w:proofErr w:type="spellEnd"/>
      <w:r w:rsidRPr="00432860">
        <w:rPr>
          <w:rFonts w:ascii="Times New Roman" w:eastAsia="Calibri" w:hAnsi="Times New Roman" w:cs="Times New Roman"/>
          <w:color w:val="444950"/>
          <w:sz w:val="24"/>
          <w:szCs w:val="24"/>
          <w:shd w:val="clear" w:color="auto" w:fill="FFFFFF"/>
        </w:rPr>
        <w:t xml:space="preserve"> zarządzania rodzi bardzo różne strategie indywidualnego i grupowego oporu, a linie napięć m</w:t>
      </w:r>
      <w:r w:rsidR="00A704FF">
        <w:rPr>
          <w:rFonts w:ascii="Times New Roman" w:eastAsia="Calibri" w:hAnsi="Times New Roman" w:cs="Times New Roman"/>
          <w:color w:val="444950"/>
          <w:sz w:val="24"/>
          <w:szCs w:val="24"/>
          <w:shd w:val="clear" w:color="auto" w:fill="FFFFFF"/>
        </w:rPr>
        <w:t>iędzy normatywem a odmiennością</w:t>
      </w:r>
      <w:r w:rsidRPr="00432860">
        <w:rPr>
          <w:rFonts w:ascii="Times New Roman" w:eastAsia="Calibri" w:hAnsi="Times New Roman" w:cs="Times New Roman"/>
          <w:color w:val="444950"/>
          <w:sz w:val="24"/>
          <w:szCs w:val="24"/>
          <w:shd w:val="clear" w:color="auto" w:fill="FFFFFF"/>
        </w:rPr>
        <w:t xml:space="preserve"> stanowią obszar twórczego fermentu. Nie dziwi zatem, że twórcy kultury, w tym pisarki i pisarze interesują się zagadnieniami, które to napięcie zrodziło, dają, nieraz biograficznie poświadczone, świadectwa tej sytuacji, stają się postulator(k)</w:t>
      </w:r>
      <w:proofErr w:type="spellStart"/>
      <w:r w:rsidRPr="00432860">
        <w:rPr>
          <w:rFonts w:ascii="Times New Roman" w:eastAsia="Calibri" w:hAnsi="Times New Roman" w:cs="Times New Roman"/>
          <w:color w:val="444950"/>
          <w:sz w:val="24"/>
          <w:szCs w:val="24"/>
          <w:shd w:val="clear" w:color="auto" w:fill="FFFFFF"/>
        </w:rPr>
        <w:t>ami</w:t>
      </w:r>
      <w:proofErr w:type="spellEnd"/>
      <w:r w:rsidRPr="00432860">
        <w:rPr>
          <w:rFonts w:ascii="Times New Roman" w:eastAsia="Calibri" w:hAnsi="Times New Roman" w:cs="Times New Roman"/>
          <w:color w:val="444950"/>
          <w:sz w:val="24"/>
          <w:szCs w:val="24"/>
          <w:shd w:val="clear" w:color="auto" w:fill="FFFFFF"/>
        </w:rPr>
        <w:t xml:space="preserve"> emancypacji, reformy obyczajowej albo też - przeciwnie - zapiekłymi zwolennikami obyczajowego konserwatyzmu. W trakcie zajęć postaram się przybliżyć i przedyskutować z Państwem obecność dyskursów płciowej i seksualnej </w:t>
      </w:r>
      <w:proofErr w:type="spellStart"/>
      <w:r w:rsidRPr="00432860">
        <w:rPr>
          <w:rFonts w:ascii="Times New Roman" w:eastAsia="Calibri" w:hAnsi="Times New Roman" w:cs="Times New Roman"/>
          <w:color w:val="444950"/>
          <w:sz w:val="24"/>
          <w:szCs w:val="24"/>
          <w:shd w:val="clear" w:color="auto" w:fill="FFFFFF"/>
        </w:rPr>
        <w:t>nienormatywności</w:t>
      </w:r>
      <w:proofErr w:type="spellEnd"/>
      <w:r w:rsidRPr="00432860">
        <w:rPr>
          <w:rFonts w:ascii="Times New Roman" w:eastAsia="Calibri" w:hAnsi="Times New Roman" w:cs="Times New Roman"/>
          <w:color w:val="444950"/>
          <w:sz w:val="24"/>
          <w:szCs w:val="24"/>
          <w:shd w:val="clear" w:color="auto" w:fill="FFFFFF"/>
        </w:rPr>
        <w:t xml:space="preserve"> w twórczości autorów i autorek kojarzonych z literackim kanonem modernizmu, a także literack</w:t>
      </w:r>
      <w:r w:rsidR="00A704FF">
        <w:rPr>
          <w:rFonts w:ascii="Times New Roman" w:eastAsia="Calibri" w:hAnsi="Times New Roman" w:cs="Times New Roman"/>
          <w:color w:val="444950"/>
          <w:sz w:val="24"/>
          <w:szCs w:val="24"/>
          <w:shd w:val="clear" w:color="auto" w:fill="FFFFFF"/>
        </w:rPr>
        <w:t xml:space="preserve">ą współczesnością: Oskara Wilde’a, </w:t>
      </w:r>
      <w:proofErr w:type="spellStart"/>
      <w:r w:rsidR="00A704FF">
        <w:rPr>
          <w:rFonts w:ascii="Times New Roman" w:eastAsia="Calibri" w:hAnsi="Times New Roman" w:cs="Times New Roman"/>
          <w:color w:val="444950"/>
          <w:sz w:val="24"/>
          <w:szCs w:val="24"/>
          <w:shd w:val="clear" w:color="auto" w:fill="FFFFFF"/>
        </w:rPr>
        <w:t>André</w:t>
      </w:r>
      <w:proofErr w:type="spellEnd"/>
      <w:r w:rsidR="00A704FF">
        <w:rPr>
          <w:rFonts w:ascii="Times New Roman" w:eastAsia="Calibri" w:hAnsi="Times New Roman" w:cs="Times New Roman"/>
          <w:color w:val="444950"/>
          <w:sz w:val="24"/>
          <w:szCs w:val="24"/>
          <w:shd w:val="clear" w:color="auto" w:fill="FFFFFF"/>
        </w:rPr>
        <w:t xml:space="preserve"> </w:t>
      </w:r>
      <w:proofErr w:type="spellStart"/>
      <w:r w:rsidR="00A704FF">
        <w:rPr>
          <w:rFonts w:ascii="Times New Roman" w:eastAsia="Calibri" w:hAnsi="Times New Roman" w:cs="Times New Roman"/>
          <w:color w:val="444950"/>
          <w:sz w:val="24"/>
          <w:szCs w:val="24"/>
          <w:shd w:val="clear" w:color="auto" w:fill="FFFFFF"/>
        </w:rPr>
        <w:t>Gide’</w:t>
      </w:r>
      <w:r w:rsidRPr="00432860">
        <w:rPr>
          <w:rFonts w:ascii="Times New Roman" w:eastAsia="Calibri" w:hAnsi="Times New Roman" w:cs="Times New Roman"/>
          <w:color w:val="444950"/>
          <w:sz w:val="24"/>
          <w:szCs w:val="24"/>
          <w:shd w:val="clear" w:color="auto" w:fill="FFFFFF"/>
        </w:rPr>
        <w:t>a</w:t>
      </w:r>
      <w:proofErr w:type="spellEnd"/>
      <w:r w:rsidRPr="00432860">
        <w:rPr>
          <w:rFonts w:ascii="Times New Roman" w:eastAsia="Calibri" w:hAnsi="Times New Roman" w:cs="Times New Roman"/>
          <w:color w:val="444950"/>
          <w:sz w:val="24"/>
          <w:szCs w:val="24"/>
          <w:shd w:val="clear" w:color="auto" w:fill="FFFFFF"/>
        </w:rPr>
        <w:t xml:space="preserve">, Tomasza Manna, Roberta Musila, Colette, Virginii </w:t>
      </w:r>
      <w:proofErr w:type="spellStart"/>
      <w:r w:rsidRPr="00432860">
        <w:rPr>
          <w:rFonts w:ascii="Times New Roman" w:eastAsia="Calibri" w:hAnsi="Times New Roman" w:cs="Times New Roman"/>
          <w:color w:val="444950"/>
          <w:sz w:val="24"/>
          <w:szCs w:val="24"/>
          <w:shd w:val="clear" w:color="auto" w:fill="FFFFFF"/>
        </w:rPr>
        <w:t>Woolf</w:t>
      </w:r>
      <w:proofErr w:type="spellEnd"/>
      <w:r w:rsidRPr="00432860">
        <w:rPr>
          <w:rFonts w:ascii="Times New Roman" w:eastAsia="Calibri" w:hAnsi="Times New Roman" w:cs="Times New Roman"/>
          <w:color w:val="444950"/>
          <w:sz w:val="24"/>
          <w:szCs w:val="24"/>
          <w:shd w:val="clear" w:color="auto" w:fill="FFFFFF"/>
        </w:rPr>
        <w:t xml:space="preserve">, Marcela Prousta, </w:t>
      </w:r>
      <w:proofErr w:type="spellStart"/>
      <w:r w:rsidRPr="00432860">
        <w:rPr>
          <w:rFonts w:ascii="Times New Roman" w:eastAsia="Calibri" w:hAnsi="Times New Roman" w:cs="Times New Roman"/>
          <w:color w:val="444950"/>
          <w:sz w:val="24"/>
          <w:szCs w:val="24"/>
          <w:shd w:val="clear" w:color="auto" w:fill="FFFFFF"/>
        </w:rPr>
        <w:t>Radclyffe</w:t>
      </w:r>
      <w:proofErr w:type="spellEnd"/>
      <w:r w:rsidRPr="00432860">
        <w:rPr>
          <w:rFonts w:ascii="Times New Roman" w:eastAsia="Calibri" w:hAnsi="Times New Roman" w:cs="Times New Roman"/>
          <w:color w:val="444950"/>
          <w:sz w:val="24"/>
          <w:szCs w:val="24"/>
          <w:shd w:val="clear" w:color="auto" w:fill="FFFFFF"/>
        </w:rPr>
        <w:t xml:space="preserve"> Hall, Jeana Geneta, Ernesta Hemingwaya, Edmunda </w:t>
      </w:r>
      <w:proofErr w:type="spellStart"/>
      <w:r w:rsidRPr="00432860">
        <w:rPr>
          <w:rFonts w:ascii="Times New Roman" w:eastAsia="Calibri" w:hAnsi="Times New Roman" w:cs="Times New Roman"/>
          <w:color w:val="444950"/>
          <w:sz w:val="24"/>
          <w:szCs w:val="24"/>
          <w:shd w:val="clear" w:color="auto" w:fill="FFFFFF"/>
        </w:rPr>
        <w:t>White'a</w:t>
      </w:r>
      <w:proofErr w:type="spellEnd"/>
      <w:r w:rsidRPr="00432860">
        <w:rPr>
          <w:rFonts w:ascii="Times New Roman" w:eastAsia="Calibri" w:hAnsi="Times New Roman" w:cs="Times New Roman"/>
          <w:color w:val="444950"/>
          <w:sz w:val="24"/>
          <w:szCs w:val="24"/>
          <w:shd w:val="clear" w:color="auto" w:fill="FFFFFF"/>
        </w:rPr>
        <w:t xml:space="preserve">, Jeannette </w:t>
      </w:r>
      <w:proofErr w:type="spellStart"/>
      <w:r w:rsidRPr="00432860">
        <w:rPr>
          <w:rFonts w:ascii="Times New Roman" w:eastAsia="Calibri" w:hAnsi="Times New Roman" w:cs="Times New Roman"/>
          <w:color w:val="444950"/>
          <w:sz w:val="24"/>
          <w:szCs w:val="24"/>
          <w:shd w:val="clear" w:color="auto" w:fill="FFFFFF"/>
        </w:rPr>
        <w:t>Winterson</w:t>
      </w:r>
      <w:proofErr w:type="spellEnd"/>
      <w:r w:rsidRPr="00432860">
        <w:rPr>
          <w:rFonts w:ascii="Times New Roman" w:eastAsia="Calibri" w:hAnsi="Times New Roman" w:cs="Times New Roman"/>
          <w:color w:val="444950"/>
          <w:sz w:val="24"/>
          <w:szCs w:val="24"/>
          <w:shd w:val="clear" w:color="auto" w:fill="FFFFFF"/>
        </w:rPr>
        <w:t xml:space="preserve">, Christophera </w:t>
      </w:r>
      <w:proofErr w:type="spellStart"/>
      <w:r w:rsidRPr="00432860">
        <w:rPr>
          <w:rFonts w:ascii="Times New Roman" w:eastAsia="Calibri" w:hAnsi="Times New Roman" w:cs="Times New Roman"/>
          <w:color w:val="444950"/>
          <w:sz w:val="24"/>
          <w:szCs w:val="24"/>
          <w:shd w:val="clear" w:color="auto" w:fill="FFFFFF"/>
        </w:rPr>
        <w:t>Isherwooda</w:t>
      </w:r>
      <w:proofErr w:type="spellEnd"/>
      <w:r w:rsidRPr="00432860">
        <w:rPr>
          <w:rFonts w:ascii="Times New Roman" w:eastAsia="Calibri" w:hAnsi="Times New Roman" w:cs="Times New Roman"/>
          <w:color w:val="444950"/>
          <w:sz w:val="24"/>
          <w:szCs w:val="24"/>
          <w:shd w:val="clear" w:color="auto" w:fill="FFFFFF"/>
        </w:rPr>
        <w:t xml:space="preserve">, </w:t>
      </w:r>
      <w:proofErr w:type="spellStart"/>
      <w:r w:rsidRPr="00432860">
        <w:rPr>
          <w:rFonts w:ascii="Times New Roman" w:eastAsia="Calibri" w:hAnsi="Times New Roman" w:cs="Times New Roman"/>
          <w:color w:val="444950"/>
          <w:sz w:val="24"/>
          <w:szCs w:val="24"/>
          <w:shd w:val="clear" w:color="auto" w:fill="FFFFFF"/>
        </w:rPr>
        <w:t>Hervé</w:t>
      </w:r>
      <w:proofErr w:type="spellEnd"/>
      <w:r w:rsidRPr="00432860">
        <w:rPr>
          <w:rFonts w:ascii="Times New Roman" w:eastAsia="Calibri" w:hAnsi="Times New Roman" w:cs="Times New Roman"/>
          <w:color w:val="444950"/>
          <w:sz w:val="24"/>
          <w:szCs w:val="24"/>
          <w:shd w:val="clear" w:color="auto" w:fill="FFFFFF"/>
        </w:rPr>
        <w:t xml:space="preserve"> </w:t>
      </w:r>
      <w:proofErr w:type="spellStart"/>
      <w:r w:rsidRPr="00432860">
        <w:rPr>
          <w:rFonts w:ascii="Times New Roman" w:eastAsia="Calibri" w:hAnsi="Times New Roman" w:cs="Times New Roman"/>
          <w:color w:val="444950"/>
          <w:sz w:val="24"/>
          <w:szCs w:val="24"/>
          <w:shd w:val="clear" w:color="auto" w:fill="FFFFFF"/>
        </w:rPr>
        <w:t>Guiberta</w:t>
      </w:r>
      <w:proofErr w:type="spellEnd"/>
      <w:r w:rsidRPr="00432860">
        <w:rPr>
          <w:rFonts w:ascii="Times New Roman" w:eastAsia="Calibri" w:hAnsi="Times New Roman" w:cs="Times New Roman"/>
          <w:color w:val="444950"/>
          <w:sz w:val="24"/>
          <w:szCs w:val="24"/>
          <w:shd w:val="clear" w:color="auto" w:fill="FFFFFF"/>
        </w:rPr>
        <w:t xml:space="preserve">, Allana </w:t>
      </w:r>
      <w:proofErr w:type="spellStart"/>
      <w:r w:rsidRPr="00432860">
        <w:rPr>
          <w:rFonts w:ascii="Times New Roman" w:eastAsia="Calibri" w:hAnsi="Times New Roman" w:cs="Times New Roman"/>
          <w:color w:val="444950"/>
          <w:sz w:val="24"/>
          <w:szCs w:val="24"/>
          <w:shd w:val="clear" w:color="auto" w:fill="FFFFFF"/>
        </w:rPr>
        <w:t>Hollinghursta</w:t>
      </w:r>
      <w:proofErr w:type="spellEnd"/>
      <w:r w:rsidRPr="00432860">
        <w:rPr>
          <w:rFonts w:ascii="Times New Roman" w:eastAsia="Calibri" w:hAnsi="Times New Roman" w:cs="Times New Roman"/>
          <w:color w:val="444950"/>
          <w:sz w:val="24"/>
          <w:szCs w:val="24"/>
          <w:shd w:val="clear" w:color="auto" w:fill="FFFFFF"/>
        </w:rPr>
        <w:t xml:space="preserve">, </w:t>
      </w:r>
      <w:proofErr w:type="spellStart"/>
      <w:r w:rsidRPr="00432860">
        <w:rPr>
          <w:rFonts w:ascii="Times New Roman" w:eastAsia="Calibri" w:hAnsi="Times New Roman" w:cs="Times New Roman"/>
          <w:color w:val="444950"/>
          <w:sz w:val="24"/>
          <w:szCs w:val="24"/>
          <w:shd w:val="clear" w:color="auto" w:fill="FFFFFF"/>
        </w:rPr>
        <w:t>Didiera</w:t>
      </w:r>
      <w:proofErr w:type="spellEnd"/>
      <w:r w:rsidRPr="00432860">
        <w:rPr>
          <w:rFonts w:ascii="Times New Roman" w:eastAsia="Calibri" w:hAnsi="Times New Roman" w:cs="Times New Roman"/>
          <w:color w:val="444950"/>
          <w:sz w:val="24"/>
          <w:szCs w:val="24"/>
          <w:shd w:val="clear" w:color="auto" w:fill="FFFFFF"/>
        </w:rPr>
        <w:t xml:space="preserve"> </w:t>
      </w:r>
      <w:proofErr w:type="spellStart"/>
      <w:r w:rsidRPr="00432860">
        <w:rPr>
          <w:rFonts w:ascii="Times New Roman" w:eastAsia="Calibri" w:hAnsi="Times New Roman" w:cs="Times New Roman"/>
          <w:color w:val="444950"/>
          <w:sz w:val="24"/>
          <w:szCs w:val="24"/>
          <w:shd w:val="clear" w:color="auto" w:fill="FFFFFF"/>
        </w:rPr>
        <w:t>Eribona</w:t>
      </w:r>
      <w:proofErr w:type="spellEnd"/>
      <w:r w:rsidRPr="00432860">
        <w:rPr>
          <w:rFonts w:ascii="Times New Roman" w:eastAsia="Calibri" w:hAnsi="Times New Roman" w:cs="Times New Roman"/>
          <w:color w:val="444950"/>
          <w:sz w:val="24"/>
          <w:szCs w:val="24"/>
          <w:shd w:val="clear" w:color="auto" w:fill="FFFFFF"/>
        </w:rPr>
        <w:t>.</w:t>
      </w:r>
    </w:p>
    <w:p w:rsidR="009E19FD" w:rsidRDefault="009E19FD" w:rsidP="00291D33">
      <w:pPr>
        <w:spacing w:after="0" w:line="240" w:lineRule="auto"/>
        <w:rPr>
          <w:rFonts w:ascii="Times New Roman" w:hAnsi="Times New Roman" w:cs="Times New Roman"/>
          <w:sz w:val="24"/>
          <w:szCs w:val="24"/>
        </w:rPr>
      </w:pPr>
    </w:p>
    <w:p w:rsidR="00291D33" w:rsidRPr="00291D33" w:rsidRDefault="00291D33" w:rsidP="00291D33">
      <w:pPr>
        <w:spacing w:after="0" w:line="240" w:lineRule="auto"/>
        <w:rPr>
          <w:rFonts w:ascii="Times New Roman" w:hAnsi="Times New Roman" w:cs="Times New Roman"/>
          <w:sz w:val="24"/>
          <w:szCs w:val="24"/>
        </w:rPr>
      </w:pPr>
    </w:p>
    <w:p w:rsidR="009E19FD" w:rsidRPr="00DB0085" w:rsidRDefault="009E19FD" w:rsidP="00432860">
      <w:pPr>
        <w:spacing w:after="0" w:line="240" w:lineRule="auto"/>
        <w:rPr>
          <w:rFonts w:ascii="Times New Roman" w:hAnsi="Times New Roman" w:cs="Times New Roman"/>
          <w:b/>
          <w:color w:val="4472C4" w:themeColor="accent5"/>
          <w:sz w:val="24"/>
          <w:szCs w:val="24"/>
        </w:rPr>
      </w:pPr>
      <w:r w:rsidRPr="00DB0085">
        <w:rPr>
          <w:rFonts w:ascii="Times New Roman" w:hAnsi="Times New Roman" w:cs="Times New Roman"/>
          <w:b/>
          <w:color w:val="4472C4" w:themeColor="accent5"/>
          <w:sz w:val="24"/>
          <w:szCs w:val="24"/>
        </w:rPr>
        <w:t xml:space="preserve">dr hab. prof. UŚ Anna Sitko, </w:t>
      </w:r>
      <w:r w:rsidRPr="00DB0085">
        <w:rPr>
          <w:rFonts w:ascii="Times New Roman" w:hAnsi="Times New Roman" w:cs="Times New Roman"/>
          <w:b/>
          <w:i/>
          <w:iCs/>
          <w:color w:val="4472C4" w:themeColor="accent5"/>
          <w:sz w:val="24"/>
          <w:szCs w:val="24"/>
        </w:rPr>
        <w:t>Kłopoty z recepcją. Twórcy i ich dzieła wobec pozwów sądowych, prześladowań i „zmowy milczenia”</w:t>
      </w:r>
    </w:p>
    <w:p w:rsidR="009E19FD" w:rsidRPr="00291D33" w:rsidRDefault="009E19FD" w:rsidP="00432860">
      <w:pPr>
        <w:spacing w:after="0" w:line="240" w:lineRule="auto"/>
        <w:jc w:val="both"/>
        <w:rPr>
          <w:rFonts w:ascii="Times New Roman" w:hAnsi="Times New Roman" w:cs="Times New Roman"/>
          <w:sz w:val="24"/>
          <w:szCs w:val="24"/>
        </w:rPr>
      </w:pPr>
      <w:r w:rsidRPr="00811554">
        <w:rPr>
          <w:rFonts w:ascii="Times New Roman" w:hAnsi="Times New Roman" w:cs="Times New Roman"/>
          <w:sz w:val="24"/>
          <w:szCs w:val="24"/>
        </w:rPr>
        <w:t xml:space="preserve">Wykłady zostaną poświęcone dziewiętnastowiecznym utworom literackim (amerykańskim, angielskim, francuskim, niemieckim, norweskim, rosyjskim), których rozpowszechnianie (w obiegu rękopiśmiennym, na łamach prasy, w edycjach samoistnych) stało się przyczyną kłopotów ich twórców. Musieli zmierzyć się z cenzurą (np. Stendhal, Ch. Dickens, Ch. Baudelaire, T. Hardy, W. Whitman, G. Hauptmann), czasem stawać przed sądem pod zarzutem obrazy moralności (G. Flaubert). Zdarzało się również, że ustawą parlamentu pisarze zostawali objęci zakazem druku (K. </w:t>
      </w:r>
      <w:proofErr w:type="spellStart"/>
      <w:r w:rsidRPr="00811554">
        <w:rPr>
          <w:rFonts w:ascii="Times New Roman" w:hAnsi="Times New Roman" w:cs="Times New Roman"/>
          <w:sz w:val="24"/>
          <w:szCs w:val="24"/>
        </w:rPr>
        <w:t>Gutzkow</w:t>
      </w:r>
      <w:proofErr w:type="spellEnd"/>
      <w:r w:rsidRPr="00811554">
        <w:rPr>
          <w:rFonts w:ascii="Times New Roman" w:hAnsi="Times New Roman" w:cs="Times New Roman"/>
          <w:sz w:val="24"/>
          <w:szCs w:val="24"/>
        </w:rPr>
        <w:t xml:space="preserve">, H. Heine i inni przedstawiciele Młodych Niemiec) lub stawali się obiektem intrygi, której tragicznym finałem była śmierć („kto zabił A. Puszkina?”, ale i A. Gribojedowa, M. Lermontowa?). Niekiedy – z różnych powodów - autora we własnej ojczyźnie </w:t>
      </w:r>
      <w:r w:rsidRPr="00291D33">
        <w:rPr>
          <w:rFonts w:ascii="Times New Roman" w:hAnsi="Times New Roman" w:cs="Times New Roman"/>
          <w:sz w:val="24"/>
          <w:szCs w:val="24"/>
        </w:rPr>
        <w:t>skazywano przez całe dziesięciolecia na niepamięć (np. G. G. N. Byron, E. A. Poe), choć jego twórczość cieszyła się zasłużoną sławą i uznaniem w innych krajach, stając się inspiracją dla nowych nurtów artystycznych. Bywało i tak, iż niezgodny z wolą artysty odbiór utworów przez czytelników stawał się przyczyną jego choroby (np. M. Gogol).</w:t>
      </w:r>
    </w:p>
    <w:p w:rsidR="009E19FD" w:rsidRPr="00291D33" w:rsidRDefault="009E19FD" w:rsidP="00432860">
      <w:pPr>
        <w:spacing w:after="0" w:line="240" w:lineRule="auto"/>
        <w:jc w:val="both"/>
        <w:rPr>
          <w:rFonts w:ascii="Times New Roman" w:hAnsi="Times New Roman" w:cs="Times New Roman"/>
          <w:b/>
          <w:color w:val="4472C4" w:themeColor="accent5"/>
          <w:sz w:val="24"/>
          <w:szCs w:val="24"/>
        </w:rPr>
      </w:pPr>
    </w:p>
    <w:p w:rsidR="009E19FD" w:rsidRPr="00291D33" w:rsidRDefault="009E19FD" w:rsidP="001347BE">
      <w:pPr>
        <w:pStyle w:val="Akapitzlist"/>
        <w:spacing w:after="0" w:line="240" w:lineRule="auto"/>
        <w:jc w:val="both"/>
        <w:rPr>
          <w:rFonts w:ascii="Times New Roman" w:hAnsi="Times New Roman" w:cs="Times New Roman"/>
          <w:b/>
          <w:color w:val="4472C4" w:themeColor="accent5"/>
          <w:sz w:val="24"/>
          <w:szCs w:val="24"/>
        </w:rPr>
      </w:pPr>
    </w:p>
    <w:p w:rsidR="001347BE" w:rsidRDefault="00291D33" w:rsidP="001347BE">
      <w:pPr>
        <w:spacing w:after="0" w:line="240" w:lineRule="auto"/>
        <w:jc w:val="both"/>
        <w:rPr>
          <w:rFonts w:ascii="Times New Roman" w:eastAsia="Calibri" w:hAnsi="Times New Roman" w:cs="Times New Roman"/>
          <w:b/>
          <w:i/>
          <w:color w:val="4472C4" w:themeColor="accent5"/>
          <w:sz w:val="24"/>
          <w:szCs w:val="24"/>
        </w:rPr>
      </w:pPr>
      <w:r w:rsidRPr="001347BE">
        <w:rPr>
          <w:rFonts w:ascii="Times New Roman" w:hAnsi="Times New Roman" w:cs="Times New Roman"/>
          <w:b/>
          <w:color w:val="4472C4" w:themeColor="accent5"/>
          <w:sz w:val="24"/>
          <w:szCs w:val="24"/>
        </w:rPr>
        <w:t xml:space="preserve">dr hab. Tomasz </w:t>
      </w:r>
      <w:proofErr w:type="spellStart"/>
      <w:r w:rsidRPr="001347BE">
        <w:rPr>
          <w:rFonts w:ascii="Times New Roman" w:hAnsi="Times New Roman" w:cs="Times New Roman"/>
          <w:b/>
          <w:color w:val="4472C4" w:themeColor="accent5"/>
          <w:sz w:val="24"/>
          <w:szCs w:val="24"/>
        </w:rPr>
        <w:t>Kaliściak</w:t>
      </w:r>
      <w:proofErr w:type="spellEnd"/>
      <w:r w:rsidRPr="001347BE">
        <w:rPr>
          <w:rFonts w:ascii="Times New Roman" w:hAnsi="Times New Roman" w:cs="Times New Roman"/>
          <w:b/>
          <w:color w:val="4472C4" w:themeColor="accent5"/>
          <w:sz w:val="24"/>
          <w:szCs w:val="24"/>
        </w:rPr>
        <w:t xml:space="preserve">, </w:t>
      </w:r>
      <w:r w:rsidR="001347BE" w:rsidRPr="001347BE">
        <w:rPr>
          <w:rFonts w:ascii="Times New Roman" w:eastAsia="Calibri" w:hAnsi="Times New Roman" w:cs="Times New Roman"/>
          <w:b/>
          <w:i/>
          <w:color w:val="4472C4" w:themeColor="accent5"/>
          <w:sz w:val="24"/>
          <w:szCs w:val="24"/>
        </w:rPr>
        <w:t>Dekadentyzm w literaturach europejskich</w:t>
      </w:r>
    </w:p>
    <w:p w:rsidR="001347BE" w:rsidRPr="001347BE" w:rsidRDefault="001347BE" w:rsidP="001347BE">
      <w:pPr>
        <w:spacing w:after="0" w:line="240" w:lineRule="auto"/>
        <w:jc w:val="both"/>
        <w:rPr>
          <w:rFonts w:ascii="Times New Roman" w:eastAsia="Calibri" w:hAnsi="Times New Roman" w:cs="Times New Roman"/>
          <w:b/>
          <w:i/>
          <w:color w:val="4472C4" w:themeColor="accent5"/>
          <w:sz w:val="24"/>
          <w:szCs w:val="24"/>
        </w:rPr>
      </w:pPr>
      <w:r w:rsidRPr="001347BE">
        <w:rPr>
          <w:rFonts w:ascii="Times New Roman" w:eastAsia="Calibri" w:hAnsi="Times New Roman" w:cs="Times New Roman"/>
          <w:sz w:val="24"/>
          <w:szCs w:val="24"/>
        </w:rPr>
        <w:t xml:space="preserve">Dekadentyzm, wywodzący się od nazwy </w:t>
      </w:r>
      <w:proofErr w:type="spellStart"/>
      <w:r w:rsidRPr="001347BE">
        <w:rPr>
          <w:rFonts w:ascii="Times New Roman" w:eastAsia="Calibri" w:hAnsi="Times New Roman" w:cs="Times New Roman"/>
          <w:i/>
          <w:sz w:val="24"/>
          <w:szCs w:val="24"/>
        </w:rPr>
        <w:t>décadence</w:t>
      </w:r>
      <w:proofErr w:type="spellEnd"/>
      <w:r w:rsidRPr="001347BE">
        <w:rPr>
          <w:rFonts w:ascii="Times New Roman" w:eastAsia="Calibri" w:hAnsi="Times New Roman" w:cs="Times New Roman"/>
          <w:sz w:val="24"/>
          <w:szCs w:val="24"/>
        </w:rPr>
        <w:t xml:space="preserve"> (a oznaczający w zależności od kontekstu: upadek, schyłek, wynaturzenie zwyrodnienie, dziwaczność), należy do najciekawszych, obok secesji, symbolizmu i estetyzmu, nurtów artystycznych i literackich końca XIX wieku, który </w:t>
      </w:r>
      <w:r w:rsidRPr="001347BE">
        <w:rPr>
          <w:rFonts w:ascii="Times New Roman" w:eastAsia="Calibri" w:hAnsi="Times New Roman" w:cs="Times New Roman"/>
          <w:sz w:val="24"/>
          <w:szCs w:val="24"/>
        </w:rPr>
        <w:lastRenderedPageBreak/>
        <w:t>obfitował wieloma barwnymi dziełami literackimi należącymi dzisiaj do kanonu klasyki światowej. Pomimo, iż stolicą dekadentyzmu była Francja, to jednak zadomowił się on również w wielu literaturach europejskich. W ramach wykładu zostaną omówione nie tylko najważniejsze dzieła dekadentyzmu francuskiego (</w:t>
      </w:r>
      <w:proofErr w:type="spellStart"/>
      <w:r w:rsidRPr="001347BE">
        <w:rPr>
          <w:rFonts w:ascii="Times New Roman" w:eastAsia="Calibri" w:hAnsi="Times New Roman" w:cs="Times New Roman"/>
          <w:sz w:val="24"/>
          <w:szCs w:val="24"/>
        </w:rPr>
        <w:t>Théophile</w:t>
      </w:r>
      <w:proofErr w:type="spellEnd"/>
      <w:r w:rsidRPr="001347BE">
        <w:rPr>
          <w:rFonts w:ascii="Times New Roman" w:eastAsia="Calibri" w:hAnsi="Times New Roman" w:cs="Times New Roman"/>
          <w:sz w:val="24"/>
          <w:szCs w:val="24"/>
        </w:rPr>
        <w:t xml:space="preserve"> Gautier, Charles Baudelaire, Paul </w:t>
      </w:r>
      <w:proofErr w:type="spellStart"/>
      <w:r w:rsidRPr="001347BE">
        <w:rPr>
          <w:rFonts w:ascii="Times New Roman" w:eastAsia="Calibri" w:hAnsi="Times New Roman" w:cs="Times New Roman"/>
          <w:sz w:val="24"/>
          <w:szCs w:val="24"/>
        </w:rPr>
        <w:t>Verlaine</w:t>
      </w:r>
      <w:proofErr w:type="spellEnd"/>
      <w:r w:rsidRPr="001347BE">
        <w:rPr>
          <w:rFonts w:ascii="Times New Roman" w:eastAsia="Calibri" w:hAnsi="Times New Roman" w:cs="Times New Roman"/>
          <w:sz w:val="24"/>
          <w:szCs w:val="24"/>
        </w:rPr>
        <w:t xml:space="preserve">, Artur Rimbaud, </w:t>
      </w:r>
      <w:proofErr w:type="spellStart"/>
      <w:r w:rsidRPr="001347BE">
        <w:rPr>
          <w:rFonts w:ascii="Times New Roman" w:eastAsia="Calibri" w:hAnsi="Times New Roman" w:cs="Times New Roman"/>
          <w:sz w:val="24"/>
          <w:szCs w:val="24"/>
        </w:rPr>
        <w:t>Joris</w:t>
      </w:r>
      <w:proofErr w:type="spellEnd"/>
      <w:r w:rsidRPr="001347BE">
        <w:rPr>
          <w:rFonts w:ascii="Times New Roman" w:eastAsia="Calibri" w:hAnsi="Times New Roman" w:cs="Times New Roman"/>
          <w:sz w:val="24"/>
          <w:szCs w:val="24"/>
        </w:rPr>
        <w:t xml:space="preserve">-Karl </w:t>
      </w:r>
      <w:proofErr w:type="spellStart"/>
      <w:r w:rsidRPr="001347BE">
        <w:rPr>
          <w:rFonts w:ascii="Times New Roman" w:eastAsia="Calibri" w:hAnsi="Times New Roman" w:cs="Times New Roman"/>
          <w:sz w:val="24"/>
          <w:szCs w:val="24"/>
        </w:rPr>
        <w:t>Huysmans</w:t>
      </w:r>
      <w:proofErr w:type="spellEnd"/>
      <w:r w:rsidRPr="001347BE">
        <w:rPr>
          <w:rFonts w:ascii="Times New Roman" w:eastAsia="Calibri" w:hAnsi="Times New Roman" w:cs="Times New Roman"/>
          <w:sz w:val="24"/>
          <w:szCs w:val="24"/>
        </w:rPr>
        <w:t>), lecz także angielskiego (Walter Pater, Oscar Wilde, Robert Louis Stevenson) i czeskiego (</w:t>
      </w:r>
      <w:proofErr w:type="spellStart"/>
      <w:r w:rsidRPr="001347BE">
        <w:rPr>
          <w:rFonts w:ascii="Times New Roman" w:eastAsia="Calibri" w:hAnsi="Times New Roman" w:cs="Times New Roman"/>
          <w:sz w:val="24"/>
          <w:szCs w:val="24"/>
        </w:rPr>
        <w:t>Jiří</w:t>
      </w:r>
      <w:proofErr w:type="spellEnd"/>
      <w:r w:rsidRPr="001347BE">
        <w:rPr>
          <w:rFonts w:ascii="Times New Roman" w:eastAsia="Calibri" w:hAnsi="Times New Roman" w:cs="Times New Roman"/>
          <w:sz w:val="24"/>
          <w:szCs w:val="24"/>
        </w:rPr>
        <w:t xml:space="preserve"> </w:t>
      </w:r>
      <w:proofErr w:type="spellStart"/>
      <w:r w:rsidRPr="001347BE">
        <w:rPr>
          <w:rFonts w:ascii="Times New Roman" w:eastAsia="Calibri" w:hAnsi="Times New Roman" w:cs="Times New Roman"/>
          <w:sz w:val="24"/>
          <w:szCs w:val="24"/>
        </w:rPr>
        <w:t>Karásek</w:t>
      </w:r>
      <w:proofErr w:type="spellEnd"/>
      <w:r w:rsidRPr="001347BE">
        <w:rPr>
          <w:rFonts w:ascii="Times New Roman" w:eastAsia="Calibri" w:hAnsi="Times New Roman" w:cs="Times New Roman"/>
          <w:sz w:val="24"/>
          <w:szCs w:val="24"/>
        </w:rPr>
        <w:t xml:space="preserve"> ze </w:t>
      </w:r>
      <w:proofErr w:type="spellStart"/>
      <w:r w:rsidRPr="001347BE">
        <w:rPr>
          <w:rFonts w:ascii="Times New Roman" w:eastAsia="Calibri" w:hAnsi="Times New Roman" w:cs="Times New Roman"/>
          <w:sz w:val="24"/>
          <w:szCs w:val="24"/>
        </w:rPr>
        <w:t>Lvovic</w:t>
      </w:r>
      <w:proofErr w:type="spellEnd"/>
      <w:r w:rsidRPr="001347BE">
        <w:rPr>
          <w:rFonts w:ascii="Times New Roman" w:eastAsia="Calibri" w:hAnsi="Times New Roman" w:cs="Times New Roman"/>
          <w:sz w:val="24"/>
          <w:szCs w:val="24"/>
        </w:rPr>
        <w:t xml:space="preserve">). Zaprezentowane zostanie również filozoficzne tło dekadentyzmu z uwzględnieniem poglądów a Nietzschego, Artura Schopenhauera czy Waltera Benjamina. Spośród zagadnień omówione zostaną między innymi takie zjawiska jak: </w:t>
      </w:r>
      <w:r w:rsidRPr="001347BE">
        <w:rPr>
          <w:rFonts w:ascii="Times New Roman" w:eastAsia="Calibri" w:hAnsi="Times New Roman" w:cs="Times New Roman"/>
          <w:i/>
          <w:sz w:val="24"/>
          <w:szCs w:val="24"/>
        </w:rPr>
        <w:t>spleen</w:t>
      </w:r>
      <w:r w:rsidRPr="001347BE">
        <w:rPr>
          <w:rFonts w:ascii="Times New Roman" w:eastAsia="Calibri" w:hAnsi="Times New Roman" w:cs="Times New Roman"/>
          <w:sz w:val="24"/>
          <w:szCs w:val="24"/>
        </w:rPr>
        <w:t>, melancholia, nerwowość, histeria, „trzecia płeć” (</w:t>
      </w:r>
      <w:proofErr w:type="spellStart"/>
      <w:r w:rsidRPr="001347BE">
        <w:rPr>
          <w:rFonts w:ascii="Times New Roman" w:eastAsia="Calibri" w:hAnsi="Times New Roman" w:cs="Times New Roman"/>
          <w:sz w:val="24"/>
          <w:szCs w:val="24"/>
        </w:rPr>
        <w:t>androgynizm</w:t>
      </w:r>
      <w:proofErr w:type="spellEnd"/>
      <w:r w:rsidRPr="001347BE">
        <w:rPr>
          <w:rFonts w:ascii="Times New Roman" w:eastAsia="Calibri" w:hAnsi="Times New Roman" w:cs="Times New Roman"/>
          <w:sz w:val="24"/>
          <w:szCs w:val="24"/>
        </w:rPr>
        <w:t xml:space="preserve"> i homoseksualność), „sztuczne raje” (używki i narkotyki, krótka historia absyntu), ekstrawagancja (dandyzm, estetyka „</w:t>
      </w:r>
      <w:proofErr w:type="spellStart"/>
      <w:r w:rsidRPr="001347BE">
        <w:rPr>
          <w:rFonts w:ascii="Times New Roman" w:eastAsia="Calibri" w:hAnsi="Times New Roman" w:cs="Times New Roman"/>
          <w:sz w:val="24"/>
          <w:szCs w:val="24"/>
        </w:rPr>
        <w:t>kampu</w:t>
      </w:r>
      <w:proofErr w:type="spellEnd"/>
      <w:r w:rsidRPr="001347BE">
        <w:rPr>
          <w:rFonts w:ascii="Times New Roman" w:eastAsia="Calibri" w:hAnsi="Times New Roman" w:cs="Times New Roman"/>
          <w:sz w:val="24"/>
          <w:szCs w:val="24"/>
        </w:rPr>
        <w:t>”). Integralnym elementem wykładów będzie również zapoznanie z najważniejszymi dziełami malarstwa, rzeźby i architektury wyrażającymi tendencje dekadenckie.</w:t>
      </w:r>
    </w:p>
    <w:p w:rsidR="00B44D64" w:rsidRDefault="00B44D64" w:rsidP="001347BE">
      <w:pPr>
        <w:spacing w:after="0" w:line="240" w:lineRule="auto"/>
        <w:jc w:val="both"/>
        <w:rPr>
          <w:rFonts w:ascii="Times New Roman" w:hAnsi="Times New Roman" w:cs="Times New Roman"/>
          <w:b/>
          <w:color w:val="4472C4" w:themeColor="accent5"/>
          <w:sz w:val="24"/>
          <w:szCs w:val="24"/>
        </w:rPr>
      </w:pPr>
    </w:p>
    <w:p w:rsidR="00291D33" w:rsidRPr="00291D33" w:rsidRDefault="00291D33" w:rsidP="001347BE">
      <w:pPr>
        <w:spacing w:after="0" w:line="240" w:lineRule="auto"/>
        <w:jc w:val="both"/>
        <w:rPr>
          <w:rFonts w:ascii="Times New Roman" w:hAnsi="Times New Roman" w:cs="Times New Roman"/>
          <w:b/>
          <w:color w:val="4472C4" w:themeColor="accent5"/>
          <w:sz w:val="24"/>
          <w:szCs w:val="24"/>
        </w:rPr>
      </w:pPr>
    </w:p>
    <w:p w:rsidR="00291D33" w:rsidRDefault="00291D33" w:rsidP="00432860">
      <w:pPr>
        <w:spacing w:after="0" w:line="240" w:lineRule="auto"/>
      </w:pPr>
    </w:p>
    <w:sectPr w:rsidR="00291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FD"/>
    <w:rsid w:val="00065FBB"/>
    <w:rsid w:val="001347BE"/>
    <w:rsid w:val="001E69B5"/>
    <w:rsid w:val="00237244"/>
    <w:rsid w:val="00291D33"/>
    <w:rsid w:val="00432860"/>
    <w:rsid w:val="006C6BCE"/>
    <w:rsid w:val="009E19FD"/>
    <w:rsid w:val="00A704FF"/>
    <w:rsid w:val="00B44D64"/>
    <w:rsid w:val="00DB0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CAB8F-AF80-4E09-ADB8-5CB0F99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19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1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47438">
      <w:bodyDiv w:val="1"/>
      <w:marLeft w:val="0"/>
      <w:marRight w:val="0"/>
      <w:marTop w:val="0"/>
      <w:marBottom w:val="0"/>
      <w:divBdr>
        <w:top w:val="none" w:sz="0" w:space="0" w:color="auto"/>
        <w:left w:val="none" w:sz="0" w:space="0" w:color="auto"/>
        <w:bottom w:val="none" w:sz="0" w:space="0" w:color="auto"/>
        <w:right w:val="none" w:sz="0" w:space="0" w:color="auto"/>
      </w:divBdr>
    </w:div>
    <w:div w:id="15807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F1AA6-78CE-4427-90AE-7E4358B6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3734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UŚ</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2019-10-23T11:48:00Z</dcterms:created>
  <dcterms:modified xsi:type="dcterms:W3CDTF">2019-10-23T11:48:00Z</dcterms:modified>
</cp:coreProperties>
</file>