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41" w:rsidRDefault="002C2A41" w:rsidP="002C2A41">
      <w:pPr>
        <w:spacing w:after="240"/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OFERTA SEMINARIUM </w:t>
      </w:r>
      <w:r w:rsidR="002B2FC0"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2021/22 </w:t>
      </w:r>
      <w:r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  <w:lang w:eastAsia="pl-PL"/>
        </w:rPr>
        <w:t>– STUDIA DZIENNE</w:t>
      </w: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03"/>
      </w:tblGrid>
      <w:tr w:rsidR="002C2A41" w:rsidRPr="009A66F0" w:rsidTr="002C2A41">
        <w:trPr>
          <w:trHeight w:val="689"/>
        </w:trPr>
        <w:tc>
          <w:tcPr>
            <w:tcW w:w="2235" w:type="dxa"/>
            <w:vAlign w:val="center"/>
          </w:tcPr>
          <w:p w:rsidR="002C2A41" w:rsidRPr="009A66F0" w:rsidRDefault="002C2A41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prof. zw. dr hab. Eugenia </w:t>
            </w:r>
            <w:r w:rsidRPr="009A66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Mandal</w:t>
            </w: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3" w:type="dxa"/>
            <w:vAlign w:val="center"/>
          </w:tcPr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Dynamika bliskich związków.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Bliskie związki o różnym stażu i wieku.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Różnice indywidualne a funkcjonowanie w bliskich związkach. Osobowość, samoocena, nieśmiałość,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ciemna triada., potrzeba władzy i wywierania wpływu.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Władza w bliskich relacjach.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Atrakcyjność w bliskich relacjach.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Manipulacja i wywieranie wpływu w bliskich związkach,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Wsparcie, poświęcenie, przebaczenie, uważność w bliskich związkach.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Zazdrość, agresja relacyjna, rywalizacja, walka o władzę.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Nowe formy bliskich relacji np. związki na odległość, związki internetowe.</w:t>
            </w:r>
          </w:p>
          <w:p w:rsidR="002C2A41" w:rsidRPr="009A66F0" w:rsidRDefault="00B11E48" w:rsidP="00B11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Kliniczne problemy w bliskich związkach np. seksoholizm, pracoholizm, przemoc.</w:t>
            </w:r>
          </w:p>
        </w:tc>
      </w:tr>
      <w:tr w:rsidR="002B2FC0" w:rsidRPr="009A66F0" w:rsidTr="002C2A41">
        <w:trPr>
          <w:trHeight w:val="699"/>
        </w:trPr>
        <w:tc>
          <w:tcPr>
            <w:tcW w:w="2235" w:type="dxa"/>
            <w:vAlign w:val="center"/>
          </w:tcPr>
          <w:p w:rsidR="002B2FC0" w:rsidRPr="009A66F0" w:rsidRDefault="002B2FC0" w:rsidP="005C1919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dr hab. prof. UŚ Hanna </w:t>
            </w:r>
            <w:r w:rsidRPr="009A66F0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Przybyła-Basista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Praca magisterska – etapy pracy, zasady prowadzenia badań, pisania pracy, rytm badań.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Definiowanie obszaru badań - zasoby osobiste, rodzinne oraz zasoby wynikające z relacji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bliskich związkach małżeńskich i partnerskich oraz czynniki ryzyka dla dobrostanu jednostki,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rodziny oraz satysfakcji ze związku.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Koncepcje teoretyczne użyteczne do formułowania tematów badawczych – koncepcje opisujące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zasoby osobiste jednostki, małżeństwa, rodziny oraz czynniki ryzyka stanowiące zagrożenie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dobrostanu jednostki i rodziny.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Koncepcje teoretyczne opisujące poczucie dobrostanu psychicznego jednostki, satysfakcji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małżeńskiej. Uwarunkowania dobrostanu psychicznego vs. braku dobrostanu psychicznego,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satysfakcji małżeńskiej, satysfakcji ze związku – analiza doniesień z badań empirycznych.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Przegląd koncepcji wyjaśniających funkcjonowanie partnerów w bliskich związkach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uwarunkowania satysfakcji małżeńskiej i analiza przyczyn braku satysfakcji. Różnice pomiędzy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kobietami i mężczyznami. Wydarzenia krytyczne a funkcjonowanie w związku, rodzinie. Teorie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opisujące konflikty interpersonalne – mechanizmy zachowania się osób w konflikcie,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uwarunkowania konfliktów, następstwa.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Metodologia badań naukowych – etapy pracy badawczej, projektowanie badań własnych.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Formułowanie własnego tematu badawczego – przegląd koncepcji i wyników badań, krytyczna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analiza stanu wiedzy i badań. Poszukiwanie literatury naukowej, sporządzanie bibliografii zgodnie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obowiązującymi standardami.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Stawianie problemów badawczych w oparciu o zgromadzoną literaturę – umiejętność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formułowania problemów badawczych, prezentacje.</w:t>
            </w:r>
          </w:p>
        </w:tc>
      </w:tr>
      <w:tr w:rsidR="002B2FC0" w:rsidRPr="009A66F0" w:rsidTr="002C2A41">
        <w:trPr>
          <w:trHeight w:val="699"/>
        </w:trPr>
        <w:tc>
          <w:tcPr>
            <w:tcW w:w="2235" w:type="dxa"/>
            <w:vAlign w:val="center"/>
          </w:tcPr>
          <w:p w:rsidR="002B2FC0" w:rsidRPr="009A66F0" w:rsidRDefault="002B2FC0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hab. prof. UŚ Katarzyna </w:t>
            </w:r>
            <w:r w:rsidRPr="009A66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Ślebarska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9A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Zajęcia mają na celu poszerzenie i uporządkowanie wiedzy na temat istoty i wyznaczników procesu 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tranzycji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na rynek pracy w oparciu o doniesienia z badań empirycznych. Zajęcia mają przygotować studentów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samodzielnego identyfikowania problemów i podjęcia badań empirycznych w odniesieniu do szeroko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rozumianego procesu 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tranzycji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, obejmującego okres przed zmianą, fazę „pomiędzy” (</w:t>
            </w:r>
            <w:r w:rsidRPr="009A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 </w:t>
            </w:r>
            <w:proofErr w:type="spellStart"/>
            <w:r w:rsidRPr="009A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between</w:t>
            </w:r>
            <w:proofErr w:type="spellEnd"/>
            <w:r w:rsidRPr="009A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jobs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)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proces socjalizacji organizacyjnej. Mają również przygotować do korzystania ze źródeł naukowych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krytycznej ich analizy.</w:t>
            </w:r>
          </w:p>
        </w:tc>
      </w:tr>
      <w:tr w:rsidR="002B2FC0" w:rsidRPr="009A66F0" w:rsidTr="002C2A41">
        <w:trPr>
          <w:trHeight w:val="709"/>
        </w:trPr>
        <w:tc>
          <w:tcPr>
            <w:tcW w:w="2235" w:type="dxa"/>
            <w:vAlign w:val="center"/>
          </w:tcPr>
          <w:p w:rsidR="002B2FC0" w:rsidRPr="009A66F0" w:rsidRDefault="002B2FC0" w:rsidP="005C1919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hab. prof. UŚ Elżbieta</w:t>
            </w:r>
            <w:r w:rsidRPr="009A66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Turska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Tematyka seminarium koncentruje się wokół psychologicznych aspektów realizowania zawodowej kariery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na współczesnym rynku pracy. Uwzględnia zarówno pozytywne (np. satysfakcję), jak i negatywne aspekty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(np. wypalenie) realizowania zawodowej aktywności. Podejmuje problematykę zmiany sposobu funkcjonowania zawodowego jako konsekwencja pandemii.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1. Wzory kariery zawodowej realizowane na współczesnym rynku pracy na różnych etapach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zawodowego rozwoju. Uwarunkowania i konsekwencje.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2. Rodzina a wielkość i rodzaj kapitału kariery ludzi młodych.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3. Cele i plany życiowe a model zawodowej kariery.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4. Wartości w karierze.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5. Nowe modele karier. Kariera proteuszowa i kariera bez granic. Kariera przedsiębiorcy.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Negatywne zjawiska związane z karierą zawodową (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mobbing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, wypalenie, pracoholizm, stres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zawodowy).</w:t>
            </w:r>
          </w:p>
          <w:p w:rsidR="002B2FC0" w:rsidRPr="009A66F0" w:rsidRDefault="002B2FC0" w:rsidP="005C1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7. Problematyka dopasowania do pracy. Satysfakcja i zadowolenie.</w:t>
            </w:r>
          </w:p>
          <w:p w:rsidR="002B2FC0" w:rsidRPr="009A66F0" w:rsidRDefault="002B2FC0" w:rsidP="005C1919">
            <w:pPr>
              <w:ind w:left="4248" w:hanging="4248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8. Technostres.</w:t>
            </w:r>
          </w:p>
          <w:p w:rsidR="002B2FC0" w:rsidRPr="009A66F0" w:rsidRDefault="002B2FC0" w:rsidP="005C1919">
            <w:pPr>
              <w:ind w:left="4248" w:hanging="42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9. Równowaga praca-rodzina.</w:t>
            </w:r>
          </w:p>
        </w:tc>
      </w:tr>
      <w:tr w:rsidR="002B2FC0" w:rsidRPr="009A66F0" w:rsidTr="002C2A41">
        <w:trPr>
          <w:trHeight w:val="691"/>
        </w:trPr>
        <w:tc>
          <w:tcPr>
            <w:tcW w:w="2235" w:type="dxa"/>
            <w:vAlign w:val="center"/>
          </w:tcPr>
          <w:p w:rsidR="002B2FC0" w:rsidRPr="009A66F0" w:rsidRDefault="002B2FC0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 prof. UŚ Ewa </w:t>
            </w:r>
            <w:r w:rsidRPr="009A66F0">
              <w:rPr>
                <w:rFonts w:ascii="Times New Roman" w:hAnsi="Times New Roman"/>
                <w:b/>
                <w:sz w:val="20"/>
                <w:szCs w:val="20"/>
              </w:rPr>
              <w:t>Wojtyna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DF2021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Digital </w:t>
            </w:r>
            <w:proofErr w:type="spellStart"/>
            <w:r w:rsidRPr="009A66F0">
              <w:rPr>
                <w:rFonts w:ascii="Times New Roman" w:hAnsi="Times New Roman"/>
                <w:sz w:val="20"/>
                <w:szCs w:val="20"/>
              </w:rPr>
              <w:t>therapeutics</w:t>
            </w:r>
            <w:proofErr w:type="spellEnd"/>
            <w:r w:rsidRPr="009A66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A66F0">
              <w:rPr>
                <w:rFonts w:ascii="Times New Roman" w:hAnsi="Times New Roman"/>
                <w:sz w:val="20"/>
                <w:szCs w:val="20"/>
              </w:rPr>
              <w:t>DTx</w:t>
            </w:r>
            <w:proofErr w:type="spellEnd"/>
            <w:r w:rsidRPr="009A66F0">
              <w:rPr>
                <w:rFonts w:ascii="Times New Roman" w:hAnsi="Times New Roman"/>
                <w:sz w:val="20"/>
                <w:szCs w:val="20"/>
              </w:rPr>
              <w:t xml:space="preserve">) to nowoczesne podejście do leczenia problemów zdrowotnych z użyciem cyfrowych aplikacji, jako wyłącznym medium dostarczającym metody terapeutyczne. W dobie zagrożeń takich jak np. pandemia czy zwiększająca się zachorowalność na nowotwory z jednoczesnym ograniczeniem dostępu do standardowych metod leczenia, </w:t>
            </w:r>
            <w:proofErr w:type="spellStart"/>
            <w:r w:rsidRPr="009A66F0">
              <w:rPr>
                <w:rFonts w:ascii="Times New Roman" w:hAnsi="Times New Roman"/>
                <w:sz w:val="20"/>
                <w:szCs w:val="20"/>
              </w:rPr>
              <w:t>DTx</w:t>
            </w:r>
            <w:proofErr w:type="spellEnd"/>
            <w:r w:rsidRPr="009A66F0">
              <w:rPr>
                <w:rFonts w:ascii="Times New Roman" w:hAnsi="Times New Roman"/>
                <w:sz w:val="20"/>
                <w:szCs w:val="20"/>
              </w:rPr>
              <w:t xml:space="preserve"> staje się atrakcyjną alternatywą i coraz częściej wykorzystywanym sposobem wspierania chorych.</w:t>
            </w:r>
          </w:p>
          <w:p w:rsidR="002B2FC0" w:rsidRPr="009A66F0" w:rsidRDefault="002B2FC0" w:rsidP="00DF20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Celem seminarium jest eksploracja zagadnień związanych z psychospołecznymi aspektami 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DTx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, m.in. relacja chory-aplikacja, efektywność metod psychoterapeutycznych dostarczanych drogą 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DTx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, procesy motywacji i budowania zaangażowania, procesy kształtowania nawyków prozdrowotnych przy użyciu aplikacji, użytkowanie aplikacji a zdrowie psychiczne i jakość psychiczna użytkowników itp.</w:t>
            </w:r>
          </w:p>
        </w:tc>
      </w:tr>
      <w:tr w:rsidR="002B2FC0" w:rsidRPr="009A66F0" w:rsidTr="002C2A41">
        <w:trPr>
          <w:trHeight w:val="708"/>
        </w:trPr>
        <w:tc>
          <w:tcPr>
            <w:tcW w:w="2235" w:type="dxa"/>
            <w:vAlign w:val="center"/>
          </w:tcPr>
          <w:p w:rsidR="002B2FC0" w:rsidRPr="009A66F0" w:rsidRDefault="002B2FC0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dr Maciej </w:t>
            </w:r>
            <w:r w:rsidRPr="009A66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Janowski: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1974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Przedmiotem pracy seminarium jest analiza uwarunkowań i korelatów nastroju. Punktem wyjścia jest zestawienie informacji z zakresu koncepcji nastroju i eksploracja wiedzy na temat jego zmienności, zróżnicowania w ramach różnic indywidualnych, związków z zaburzeniami klinicznymi i jakością życia, cechami osobowości, procesami poznawczymi, funkcjonowaniem interpersonalnym oraz jakością wykonywania zadań, w tym zawodowych. Zagadnienia te będą omawiane w trakcie pierwszego semestru. W semestrze drugim działania skoncentrowane są na dookreśleniu zagadnień szczególnie interesujących dla uczestników i pogłębionej analizie teoretycznej w ramach przygotowywanej części teoretycznej pracy magisterskiej. Semestr trzeci wiąże się z przygotowaniem i realizacją badań, a czwarty z analizą wyników i ukończeniem pracy magisterskiej.</w:t>
            </w:r>
          </w:p>
        </w:tc>
      </w:tr>
      <w:tr w:rsidR="002B2FC0" w:rsidRPr="009A66F0" w:rsidTr="002C2A41">
        <w:trPr>
          <w:trHeight w:val="421"/>
        </w:trPr>
        <w:tc>
          <w:tcPr>
            <w:tcW w:w="2235" w:type="dxa"/>
            <w:vAlign w:val="center"/>
          </w:tcPr>
          <w:p w:rsidR="002B2FC0" w:rsidRPr="009A66F0" w:rsidRDefault="002B2FC0" w:rsidP="005C1919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Mateusz </w:t>
            </w:r>
            <w:r w:rsidRPr="009A66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Paliga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5C1919">
            <w:pPr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Tematyka seminarium skoncentrowana jest wokół relacji łączącej satysfakcję z pracy z wydajnością pracy. Celem zajęć jest poszerzenie i uporządkowanie wiedzy na temat postaw wobec pracy i </w:t>
            </w:r>
            <w:proofErr w:type="spellStart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zachowań</w:t>
            </w:r>
            <w:proofErr w:type="spellEnd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organizacyjnych oraz rozwój umiejętności krytycznej analizy i korzystania ze źródeł naukowych w pracy psychologa (</w:t>
            </w:r>
            <w:proofErr w:type="spellStart"/>
            <w:r w:rsidRPr="009A66F0">
              <w:rPr>
                <w:rFonts w:ascii="Times New Roman" w:eastAsia="Garamond" w:hAnsi="Times New Roman" w:cs="Times New Roman"/>
                <w:i/>
                <w:sz w:val="20"/>
                <w:szCs w:val="20"/>
              </w:rPr>
              <w:t>evidence-based</w:t>
            </w:r>
            <w:proofErr w:type="spellEnd"/>
            <w:r w:rsidRPr="009A66F0">
              <w:rPr>
                <w:rFonts w:ascii="Times New Roman" w:eastAsia="Garamond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6F0">
              <w:rPr>
                <w:rFonts w:ascii="Times New Roman" w:eastAsia="Garamond" w:hAnsi="Times New Roman" w:cs="Times New Roman"/>
                <w:i/>
                <w:sz w:val="20"/>
                <w:szCs w:val="20"/>
              </w:rPr>
              <w:t>practice</w:t>
            </w:r>
            <w:proofErr w:type="spellEnd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). W trakcie seminarium studenci zdobędą warsztat prowadzenia samodzielnych badań i analiz w organizacji.</w:t>
            </w:r>
          </w:p>
          <w:p w:rsidR="002B2FC0" w:rsidRPr="009A66F0" w:rsidRDefault="002B2FC0" w:rsidP="005C1919">
            <w:pPr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Proponowane tematy badawcze obejmują:</w:t>
            </w:r>
          </w:p>
          <w:p w:rsidR="002B2FC0" w:rsidRPr="009A66F0" w:rsidRDefault="002B2FC0" w:rsidP="005C1919">
            <w:pPr>
              <w:numPr>
                <w:ilvl w:val="0"/>
                <w:numId w:val="7"/>
              </w:numPr>
              <w:ind w:left="283" w:hanging="283"/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Związek satysfakcji z pracy i wydajności pracy</w:t>
            </w:r>
          </w:p>
          <w:p w:rsidR="002B2FC0" w:rsidRPr="009A66F0" w:rsidRDefault="002B2FC0" w:rsidP="005C1919">
            <w:pPr>
              <w:numPr>
                <w:ilvl w:val="0"/>
                <w:numId w:val="8"/>
              </w:numPr>
              <w:ind w:left="566" w:hanging="283"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Weryfikacja bezpośredniego związku między proponowanymi zjawiskami</w:t>
            </w:r>
          </w:p>
          <w:p w:rsidR="002B2FC0" w:rsidRPr="009A66F0" w:rsidRDefault="002B2FC0" w:rsidP="005C1919">
            <w:pPr>
              <w:numPr>
                <w:ilvl w:val="0"/>
                <w:numId w:val="8"/>
              </w:numPr>
              <w:ind w:left="566" w:hanging="283"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Eksploracja zmiennych pośredniczących w relacji satysfakcji i wydajności: analiza warunków i procesów wyjaśniających tę relację</w:t>
            </w:r>
          </w:p>
          <w:p w:rsidR="002B2FC0" w:rsidRPr="009A66F0" w:rsidRDefault="002B2FC0" w:rsidP="005C1919">
            <w:pPr>
              <w:numPr>
                <w:ilvl w:val="0"/>
                <w:numId w:val="8"/>
              </w:numPr>
              <w:ind w:left="566" w:hanging="283"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Rewizja konceptualizacji satysfakcji i wydajności. Zagadnienia proponowane do analizy obejmują: pozytywne emocje i dobrostan w pracy oraz zachowania wynikające z roli, organizacyjne zachowania obywatelskie i zachowania </w:t>
            </w:r>
            <w:proofErr w:type="spellStart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kontrproduktywne</w:t>
            </w:r>
            <w:proofErr w:type="spellEnd"/>
          </w:p>
          <w:p w:rsidR="002B2FC0" w:rsidRPr="009A66F0" w:rsidRDefault="002B2FC0" w:rsidP="005C1919">
            <w:pPr>
              <w:jc w:val="both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B. Dyspozycyjne i sytuacyjne determinanty satysfakcji z pracy i wydajności pracy</w:t>
            </w:r>
          </w:p>
          <w:p w:rsidR="002B2FC0" w:rsidRPr="009A66F0" w:rsidRDefault="002B2FC0" w:rsidP="005C1919">
            <w:pPr>
              <w:numPr>
                <w:ilvl w:val="0"/>
                <w:numId w:val="9"/>
              </w:numPr>
              <w:ind w:left="566" w:hanging="283"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Analiza osobowościowych lub </w:t>
            </w:r>
            <w:proofErr w:type="spellStart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socjo</w:t>
            </w:r>
            <w:proofErr w:type="spellEnd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-demograficznych źródeł postaw i </w:t>
            </w:r>
            <w:proofErr w:type="spellStart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zachowań</w:t>
            </w:r>
            <w:proofErr w:type="spellEnd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pracowników, których wariancja jest endogeniczna</w:t>
            </w:r>
          </w:p>
          <w:p w:rsidR="002B2FC0" w:rsidRPr="009A66F0" w:rsidRDefault="002B2FC0" w:rsidP="005C1919">
            <w:pPr>
              <w:numPr>
                <w:ilvl w:val="0"/>
                <w:numId w:val="9"/>
              </w:numPr>
              <w:ind w:left="566" w:hanging="283"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Rola czynników organizacyjnych w wyjaśnianiu postaw i </w:t>
            </w:r>
            <w:proofErr w:type="spellStart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zachowań</w:t>
            </w:r>
            <w:proofErr w:type="spellEnd"/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pracowników</w:t>
            </w:r>
          </w:p>
          <w:p w:rsidR="002B2FC0" w:rsidRPr="009A66F0" w:rsidRDefault="002B2FC0" w:rsidP="005C1919">
            <w:pPr>
              <w:numPr>
                <w:ilvl w:val="0"/>
                <w:numId w:val="9"/>
              </w:numPr>
              <w:ind w:left="566" w:hanging="283"/>
              <w:jc w:val="both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eastAsia="Garamond" w:hAnsi="Times New Roman" w:cs="Times New Roman"/>
                <w:sz w:val="20"/>
                <w:szCs w:val="20"/>
              </w:rPr>
              <w:t>Perspektywa interakcyjna: dopasowanie człowieka i środowiska pracy, teoria aktywacji cech osobowości w środowisku pracy</w:t>
            </w:r>
          </w:p>
          <w:p w:rsidR="002B2FC0" w:rsidRPr="009A66F0" w:rsidRDefault="002B2FC0" w:rsidP="005C1919">
            <w:pPr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</w:p>
        </w:tc>
      </w:tr>
      <w:tr w:rsidR="002B2FC0" w:rsidRPr="009A66F0" w:rsidTr="002C2A41">
        <w:trPr>
          <w:trHeight w:val="421"/>
        </w:trPr>
        <w:tc>
          <w:tcPr>
            <w:tcW w:w="2235" w:type="dxa"/>
            <w:vAlign w:val="center"/>
          </w:tcPr>
          <w:p w:rsidR="002B2FC0" w:rsidRPr="009A66F0" w:rsidRDefault="002B2FC0" w:rsidP="005C1919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dr Anita </w:t>
            </w:r>
            <w:proofErr w:type="spellStart"/>
            <w:r w:rsidRPr="009A66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Pollak</w:t>
            </w:r>
            <w:proofErr w:type="spellEnd"/>
          </w:p>
        </w:tc>
        <w:tc>
          <w:tcPr>
            <w:tcW w:w="6803" w:type="dxa"/>
            <w:vAlign w:val="center"/>
          </w:tcPr>
          <w:p w:rsidR="002B2FC0" w:rsidRPr="009A66F0" w:rsidRDefault="002B2FC0" w:rsidP="005C1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Tematyka przygotowanych u mnie prac magisterskich obejmuje zagadnienia mieszczące się w obszarze psychologii pracy i organizacji oraz psychologii klinicznej. Moje zainteresowania badawcze koncentrują się wokół sposobów funkcjonowania pracowników w zmieniających się warunkach pracy, relacjami w zespole i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diadzie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kierownik-przełożony oraz emocjami doświadczanymi w pracy. Interesuję się zagadnieniami związanymi z doświadczaniem stresu w pracy, </w:t>
            </w:r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strategiami radzenia sobie ze stresem, ale również rolą wsparcia społecznego, oceną stopnia realizacji zaplanowanych zadań i odczuwanym zmęczeniem.</w:t>
            </w:r>
          </w:p>
          <w:p w:rsidR="002B2FC0" w:rsidRPr="009A66F0" w:rsidRDefault="002B2FC0" w:rsidP="005C1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Zagadnienia wydają mi się szczególnie ciekawe z uwagi na to, że coraz większa ilość badań potwierdza brak związku między radzeniem sobie ze stresem i przeżywanym stanem emocjonalnym.</w:t>
            </w:r>
          </w:p>
          <w:p w:rsidR="002B2FC0" w:rsidRPr="009A66F0" w:rsidRDefault="002B2FC0" w:rsidP="005C1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 badaniach własnych wykorzystuję czujniki (m.in.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wearables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), które pozwalają uzupełnić dane psychologiczne o dane dotyczące stanu psychofizjologicznego.</w:t>
            </w:r>
          </w:p>
          <w:p w:rsidR="002B2FC0" w:rsidRPr="009A66F0" w:rsidRDefault="002B2FC0" w:rsidP="005C1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2FC0" w:rsidRPr="009A66F0" w:rsidRDefault="002B2FC0" w:rsidP="005C1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Przykładowe zagadnienia i kierunki prac badawczych</w:t>
            </w:r>
          </w:p>
          <w:p w:rsidR="002B2FC0" w:rsidRPr="009A66F0" w:rsidRDefault="002B2FC0" w:rsidP="005C1919">
            <w:pPr>
              <w:pStyle w:val="Akapitzlist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fizyczna przestrzeń pracy i jej znaczenie dla satysfakcji i osiąganych wyników (we współpracy z architektami),</w:t>
            </w:r>
          </w:p>
          <w:p w:rsidR="002B2FC0" w:rsidRPr="009A66F0" w:rsidRDefault="002B2FC0" w:rsidP="005C1919">
            <w:pPr>
              <w:pStyle w:val="Akapitzlist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wykorzystanie wirtualnej rzeczywistości do stymulowania aktywności fizycznej w domu i w pracy (we współpracy z przedstawicielami Inżynierii Biomedycznej),</w:t>
            </w:r>
          </w:p>
          <w:p w:rsidR="002B2FC0" w:rsidRPr="009A66F0" w:rsidRDefault="002B2FC0" w:rsidP="005C1919">
            <w:pPr>
              <w:pStyle w:val="Akapitzlist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znaczenie relacji z przełożonym na zaangażowanie w pracę i odczuwaną satysfakcję,</w:t>
            </w:r>
          </w:p>
          <w:p w:rsidR="002B2FC0" w:rsidRPr="009A66F0" w:rsidRDefault="002B2FC0" w:rsidP="005C1919">
            <w:pPr>
              <w:pStyle w:val="Akapitzlist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badania zespołów,</w:t>
            </w:r>
          </w:p>
          <w:p w:rsidR="002B2FC0" w:rsidRPr="009A66F0" w:rsidRDefault="002B2FC0" w:rsidP="005C1919">
            <w:pPr>
              <w:pStyle w:val="Akapitzlist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stres, radzenie sobie i emocje: (m.in. podejście „dzień po dniu”),</w:t>
            </w:r>
          </w:p>
          <w:p w:rsidR="002B2FC0" w:rsidRPr="009A66F0" w:rsidRDefault="002B2FC0" w:rsidP="005C1919">
            <w:pPr>
              <w:pStyle w:val="Akapitzlist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stosowanie proaktywnych taktyk wpływu,</w:t>
            </w:r>
          </w:p>
          <w:p w:rsidR="002B2FC0" w:rsidRPr="009A66F0" w:rsidRDefault="002B2FC0" w:rsidP="005C19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znaczenie kontekstu pracy - analiza zmęczenia.</w:t>
            </w:r>
          </w:p>
        </w:tc>
      </w:tr>
      <w:tr w:rsidR="002B2FC0" w:rsidRPr="009A66F0" w:rsidTr="002C2A41">
        <w:trPr>
          <w:trHeight w:val="421"/>
        </w:trPr>
        <w:tc>
          <w:tcPr>
            <w:tcW w:w="2235" w:type="dxa"/>
            <w:vAlign w:val="center"/>
          </w:tcPr>
          <w:p w:rsidR="002B2FC0" w:rsidRPr="009A66F0" w:rsidRDefault="002B2FC0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lastRenderedPageBreak/>
              <w:t>dr Agnieszka</w:t>
            </w:r>
            <w:r w:rsidRPr="009A66F0">
              <w:rPr>
                <w:rFonts w:ascii="Times New Roman" w:hAnsi="Times New Roman"/>
                <w:b/>
                <w:sz w:val="20"/>
                <w:szCs w:val="20"/>
              </w:rPr>
              <w:t xml:space="preserve"> Skorupa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885B8F">
            <w:pPr>
              <w:pStyle w:val="opis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Podczas seminarium studenci zaznajomią się z teoriami, koncepcjami i wynikami badań empirycznych w obszarze psychologii zachowań człowieka w sytuacjach ekstremalnych. Sytuacje ekstremalne to te, na które ludzie narażeni są przypadkowo (klęski, katastrofy, wypadki) oraz te, na które eksponują się celowo (wyprawy wysokogórskie, ekspedycje polarne, ekstremalne sporty, podróże i kontakt międzykulturowy w trudnych warunkach środowiskowych). Seminarium skoncentrowane jest wokół eksploracji:</w:t>
            </w:r>
          </w:p>
          <w:p w:rsidR="002B2FC0" w:rsidRPr="009A66F0" w:rsidRDefault="002B2FC0" w:rsidP="00885B8F">
            <w:pPr>
              <w:pStyle w:val="opis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filmowych wizerunków człowieka w sytuacjach ekstremalnych;</w:t>
            </w:r>
          </w:p>
          <w:p w:rsidR="002B2FC0" w:rsidRPr="009A66F0" w:rsidRDefault="002B2FC0" w:rsidP="00885B8F">
            <w:pPr>
              <w:pStyle w:val="opis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cech indywidualnych predysponujących jednostki do przetrwania przypadkowej ekspozycji na sytuację ekstremalną;</w:t>
            </w:r>
          </w:p>
          <w:p w:rsidR="002B2FC0" w:rsidRPr="009A66F0" w:rsidRDefault="002B2FC0" w:rsidP="00885B8F">
            <w:pPr>
              <w:pStyle w:val="opis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obszarów motywacyjnych, które leżą u podstaw celowej ekspozycji na sytuację ekstremalną;</w:t>
            </w:r>
          </w:p>
          <w:p w:rsidR="002B2FC0" w:rsidRPr="009A66F0" w:rsidRDefault="002B2FC0" w:rsidP="00885B8F">
            <w:pPr>
              <w:pStyle w:val="opis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skuteczności działań profilaktycznych i interwencyjnych związanych z ekspozycją na ekstremalne sytuacje;</w:t>
            </w:r>
          </w:p>
          <w:p w:rsidR="002B2FC0" w:rsidRPr="009A66F0" w:rsidRDefault="002B2FC0" w:rsidP="00885B8F">
            <w:pPr>
              <w:pStyle w:val="opis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A66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długoterminowych następstw ekspozycji na sytuację ekstremalną.</w:t>
            </w:r>
          </w:p>
          <w:p w:rsidR="002B2FC0" w:rsidRPr="009A66F0" w:rsidRDefault="002B2FC0" w:rsidP="00885B8F">
            <w:pPr>
              <w:ind w:left="4248" w:hanging="42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FC0" w:rsidRPr="009A66F0" w:rsidTr="002C2A41">
        <w:trPr>
          <w:trHeight w:val="421"/>
        </w:trPr>
        <w:tc>
          <w:tcPr>
            <w:tcW w:w="2235" w:type="dxa"/>
            <w:vAlign w:val="center"/>
          </w:tcPr>
          <w:p w:rsidR="002B2FC0" w:rsidRPr="009A66F0" w:rsidRDefault="002B2FC0" w:rsidP="005C1919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Marta </w:t>
            </w:r>
            <w:proofErr w:type="spellStart"/>
            <w:r w:rsidRPr="009A66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Stasiła</w:t>
            </w:r>
            <w:proofErr w:type="spellEnd"/>
            <w:r w:rsidRPr="009A66F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-Sieradzka</w:t>
            </w: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5C1919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Zagadnienia teoretyczne i badawcze będące przedmiotem seminarium magisterskiego:</w:t>
            </w:r>
          </w:p>
          <w:p w:rsidR="002B2FC0" w:rsidRPr="009A66F0" w:rsidRDefault="002B2FC0" w:rsidP="005C1919">
            <w:pPr>
              <w:pStyle w:val="Akapitzlist"/>
              <w:numPr>
                <w:ilvl w:val="0"/>
                <w:numId w:val="5"/>
              </w:num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Psychologiczne i organizacyjne </w:t>
            </w:r>
            <w:proofErr w:type="spellStart"/>
            <w:r w:rsidRPr="009A66F0">
              <w:rPr>
                <w:rFonts w:ascii="Times New Roman" w:hAnsi="Times New Roman"/>
                <w:sz w:val="20"/>
                <w:szCs w:val="20"/>
              </w:rPr>
              <w:t>predyktory</w:t>
            </w:r>
            <w:proofErr w:type="spellEnd"/>
            <w:r w:rsidRPr="009A66F0">
              <w:rPr>
                <w:rFonts w:ascii="Times New Roman" w:hAnsi="Times New Roman"/>
                <w:sz w:val="20"/>
                <w:szCs w:val="20"/>
              </w:rPr>
              <w:t xml:space="preserve"> dobrostanu w środowisku pracy( stres zawodowy, klimat bezpieczeństwa pracy, misja zawodowa, wypalenie zawodowe, zmienne osobowościowe)</w:t>
            </w:r>
          </w:p>
          <w:p w:rsidR="002B2FC0" w:rsidRPr="009A66F0" w:rsidRDefault="002B2FC0" w:rsidP="005C1919">
            <w:pPr>
              <w:pStyle w:val="opis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Patologie pracy oraz ich wpływ na bezpieczeństwo i higienę pracy.</w:t>
            </w:r>
          </w:p>
          <w:p w:rsidR="002B2FC0" w:rsidRPr="009A66F0" w:rsidRDefault="002B2FC0" w:rsidP="005C19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2FC0" w:rsidRPr="009A66F0" w:rsidTr="002C2A41">
        <w:trPr>
          <w:trHeight w:val="715"/>
        </w:trPr>
        <w:tc>
          <w:tcPr>
            <w:tcW w:w="2235" w:type="dxa"/>
            <w:vAlign w:val="center"/>
          </w:tcPr>
          <w:p w:rsidR="002B2FC0" w:rsidRPr="009A66F0" w:rsidRDefault="002B2FC0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Patrycja </w:t>
            </w:r>
            <w:r w:rsidRPr="009A66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Rudnicka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4478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Problematyka seminarium koncentruje się na zagadnieniach szeroko rozumianego wpływu technologii komunikacyjno-informacyjnych (takich jak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technologie mobilne) na poznawcze, emocjonalne i społeczne funkcjonowanie współczesnego człowieka w różnych obszarach życia (np. życiu zawodowym, relacjach interpersonalnych). Problemy badawcze eksplorowane przez uczestników seminarium obejmować będą zarówno zagadnienia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cyberpsychologii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(dawniej psychologii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jak również wpisywać się będą w nurt badań z zakresu interakcji człowiek-komputer (</w:t>
            </w:r>
            <w:r w:rsidRPr="009A6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Human-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Computer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Interaction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 HCI</w:t>
            </w:r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). Przykładowe zagadnienia i kierunki prac badawczych obejmują współczesne modele akceptacji technologii i ich uwarunkowania, w tym koncepcja gotowości technologicznej w różnych grupach społecznych i w organizacjach; korelaty psychologiczne gotowości technologicznej, postaw i zachowań wobec różnych aspektów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psychologiczne uwarunkowania patologii korzystania z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tzw. pozytywnej technologii, psychologiczne aspekty użyteczności i doświadczenia użytkownika (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user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experience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UX), metodologiczne problemy </w:t>
            </w:r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związane z badaniami psychologicznymi w Internecie oraz normatywne aspekty zastosowań </w:t>
            </w:r>
            <w:proofErr w:type="spellStart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9A6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praktyce psychologicznej.</w:t>
            </w:r>
          </w:p>
          <w:p w:rsidR="002B2FC0" w:rsidRPr="009A66F0" w:rsidRDefault="002B2FC0" w:rsidP="006415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2FC0" w:rsidRPr="009A66F0" w:rsidTr="002C2A41">
        <w:trPr>
          <w:trHeight w:val="509"/>
        </w:trPr>
        <w:tc>
          <w:tcPr>
            <w:tcW w:w="2235" w:type="dxa"/>
            <w:vAlign w:val="center"/>
          </w:tcPr>
          <w:p w:rsidR="002B2FC0" w:rsidRPr="009A66F0" w:rsidRDefault="002B2FC0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dr Monika </w:t>
            </w:r>
            <w:r w:rsidRPr="009A66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Kardacz-Stojek</w:t>
            </w:r>
          </w:p>
        </w:tc>
        <w:tc>
          <w:tcPr>
            <w:tcW w:w="6803" w:type="dxa"/>
            <w:vAlign w:val="center"/>
          </w:tcPr>
          <w:p w:rsidR="002B2FC0" w:rsidRPr="009A66F0" w:rsidRDefault="002B2FC0" w:rsidP="004478F1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Tematyka seminarium w szerokim zakresie będzie skupiała się na wpływie czynników psychologicznych na uzależnienia, zaburzenia odżywiania i otyłość. Szczególną uwagą będą objęte czynniki związane z rolą stresu (również traumy), współistnieniem innych zaburzeń psychologicznych (np. stanów lękowych) oraz impulsywności w odniesieniu do uzależnień, zaburzeń odżywiania i stylów odżywiania prowadzących do otyłości. Wpływ stanów uzależnień, zaburzeń odżywiania i otyłości na zdrowie fizyczne będzie również uwzględniony w tematyce. Uzależnienia behawioralne, takie jak kompulsywny hazard czy robienie zakupów, mogą również być uwzględnione w tematyce seminarium, w zależności od zainteresowań uczestników.  </w:t>
            </w:r>
          </w:p>
          <w:p w:rsidR="002B2FC0" w:rsidRPr="009A66F0" w:rsidRDefault="002B2FC0" w:rsidP="004478F1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</w:p>
          <w:p w:rsidR="002B2FC0" w:rsidRPr="009A66F0" w:rsidRDefault="002B2FC0" w:rsidP="004478F1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W ramach seminarium możliwe jest prowadzenie badań osób dorosłych z wykorzystaniem:</w:t>
            </w:r>
          </w:p>
          <w:p w:rsidR="002B2FC0" w:rsidRPr="009A66F0" w:rsidRDefault="002B2FC0" w:rsidP="004478F1">
            <w:pPr>
              <w:pStyle w:val="opis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Elementów modeli impulsywności (np. UPPS), modeli osobowości (no. FFI), oraz teorii regulacji emocji w kontekście zachowań zdrowotnych i uzależnień.</w:t>
            </w:r>
          </w:p>
          <w:p w:rsidR="002B2FC0" w:rsidRPr="009A66F0" w:rsidRDefault="002B2FC0" w:rsidP="004478F1">
            <w:pPr>
              <w:pStyle w:val="opis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Instrumentów do pomiaru uzależnień (również behawioralnych) oraz zaburzeń odżywiania, i ich psychologicznych i zdrowotnych korelatów. </w:t>
            </w:r>
          </w:p>
          <w:p w:rsidR="002B2FC0" w:rsidRPr="009A66F0" w:rsidRDefault="002B2FC0" w:rsidP="004478F1">
            <w:pPr>
              <w:ind w:left="4248" w:hanging="424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Teorii oddziaływania stresu na dobrostan psychologiczny i fizyczny</w:t>
            </w:r>
          </w:p>
        </w:tc>
      </w:tr>
    </w:tbl>
    <w:p w:rsidR="00D15025" w:rsidRDefault="00D15025"/>
    <w:p w:rsidR="002C2A41" w:rsidRDefault="002C2A41"/>
    <w:p w:rsidR="002C2A41" w:rsidRDefault="002C2A41" w:rsidP="002C2A41">
      <w:pPr>
        <w:spacing w:after="240"/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OFERTA SEMINARIUM </w:t>
      </w:r>
      <w:r w:rsidR="002B2FC0"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2021/22 </w:t>
      </w:r>
      <w:r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  <w:lang w:eastAsia="pl-PL"/>
        </w:rPr>
        <w:t>– STUDIA niestacjonarne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03"/>
      </w:tblGrid>
      <w:tr w:rsidR="002C2A41" w:rsidRPr="009A66F0" w:rsidTr="002C2A41">
        <w:trPr>
          <w:trHeight w:val="699"/>
        </w:trPr>
        <w:tc>
          <w:tcPr>
            <w:tcW w:w="2235" w:type="dxa"/>
            <w:vAlign w:val="center"/>
          </w:tcPr>
          <w:p w:rsidR="002C2A41" w:rsidRPr="009A66F0" w:rsidRDefault="002C2A41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 Łukasz Jach</w:t>
            </w:r>
          </w:p>
        </w:tc>
        <w:tc>
          <w:tcPr>
            <w:tcW w:w="6803" w:type="dxa"/>
            <w:vAlign w:val="center"/>
          </w:tcPr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Tematyka seminarium koncentruje się wokół psychologicznych uwarunkowań i korelató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zjawisk związanych z humorem i wyobraźnią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. Podczas zajęć studenci poznają teorie i wyniki badań psychologicznych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humoru i wyobraźni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. Wśród ujęć teoretycznych, stanowiących tło prowadzonych w ramach seminarium rozważań można wymienić m.in. koncepcje </w:t>
            </w:r>
            <w:proofErr w:type="spellStart"/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psychodynamiczne</w:t>
            </w:r>
            <w:proofErr w:type="spellEnd"/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, poznawcze, ewolucyjne oraz związane z ucieleśnieniem (</w:t>
            </w:r>
            <w:proofErr w:type="spellStart"/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embodiment</w:t>
            </w:r>
            <w:proofErr w:type="spellEnd"/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) procesów psychicznych. Poznanie wskazanych kontekstów teoretycznych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umożliwi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 studentom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formułowanie problemów badawczych dotyczących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 i dynamiki humoru oraz wyobraźni w obszarach codziennego funkcjonowania człowieka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Proponowane kierunki seminaryjnych dociekań badawczych: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  <w:t>Humor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wyobraźnia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 w relacjach partnerskich;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  <w:t>Humor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wyobraźnia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 w procesach grupowych;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  <w:t>Humor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wyobraźnia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 w obliczu choroby i innych trudnych sytuacji życiowych;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  <w:t>Humor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wyobraźnia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 w środowisku pracy;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  <w:t>Wykorzystywanie humoru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działania wyobraźni 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w przekazach informacyjnych i edukacyjnych;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  <w:t>Wykorzystywanie humoru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wyobraźni 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narzędzi wywierania wpływu;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  <w:t>Indywidualne korelaty humoru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działania wyobraźni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6801" w:rsidRPr="00776801" w:rsidRDefault="00776801" w:rsidP="00776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45A6D">
              <w:rPr>
                <w:rFonts w:ascii="Times New Roman" w:hAnsi="Times New Roman" w:cs="Times New Roman"/>
                <w:sz w:val="20"/>
                <w:szCs w:val="20"/>
              </w:rPr>
              <w:t>Humor oraz wyobraźnia w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 kontekście różnic związanych z kapitałem ekonomicznym, społecznym i kulturowym;</w:t>
            </w:r>
          </w:p>
          <w:p w:rsidR="002C2A41" w:rsidRPr="00776801" w:rsidRDefault="00776801" w:rsidP="00745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45A6D">
              <w:rPr>
                <w:rFonts w:ascii="Times New Roman" w:hAnsi="Times New Roman" w:cs="Times New Roman"/>
                <w:sz w:val="20"/>
                <w:szCs w:val="20"/>
              </w:rPr>
              <w:t>Humor oraz wyobraźnia w</w:t>
            </w:r>
            <w:r w:rsidR="00745A6D" w:rsidRPr="00776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801">
              <w:rPr>
                <w:rFonts w:ascii="Times New Roman" w:hAnsi="Times New Roman" w:cs="Times New Roman"/>
                <w:sz w:val="20"/>
                <w:szCs w:val="20"/>
              </w:rPr>
              <w:t>perspektywie</w:t>
            </w:r>
            <w:r w:rsidR="00745A6D">
              <w:rPr>
                <w:rFonts w:ascii="Times New Roman" w:hAnsi="Times New Roman" w:cs="Times New Roman"/>
                <w:sz w:val="20"/>
                <w:szCs w:val="20"/>
              </w:rPr>
              <w:t xml:space="preserve"> zagadnień psychologii klinicznej, psychologii zdrowia oraz psychologii jakości życia.</w:t>
            </w:r>
          </w:p>
        </w:tc>
      </w:tr>
      <w:tr w:rsidR="002C2A41" w:rsidRPr="009A66F0" w:rsidTr="002C2A41">
        <w:trPr>
          <w:trHeight w:val="709"/>
        </w:trPr>
        <w:tc>
          <w:tcPr>
            <w:tcW w:w="2235" w:type="dxa"/>
            <w:vAlign w:val="center"/>
          </w:tcPr>
          <w:p w:rsidR="002C2A41" w:rsidRPr="009A66F0" w:rsidRDefault="002C2A41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Dagna </w:t>
            </w:r>
            <w:r w:rsidRPr="009A66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Kocur</w:t>
            </w:r>
          </w:p>
        </w:tc>
        <w:tc>
          <w:tcPr>
            <w:tcW w:w="6803" w:type="dxa"/>
            <w:vAlign w:val="center"/>
          </w:tcPr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Uważność (</w:t>
            </w:r>
            <w:proofErr w:type="spellStart"/>
            <w:r w:rsidRPr="009A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Mindfulness</w:t>
            </w:r>
            <w:proofErr w:type="spellEnd"/>
            <w:r w:rsidRPr="009A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):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Uważność w romantycznych związkach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Uważność w relacjach seksualnych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Uważność w relacjach z dziećmi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Uważność w relacjach zawodowych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Uważność a psychoterapia</w:t>
            </w:r>
          </w:p>
          <w:p w:rsidR="002C2A41" w:rsidRPr="009A66F0" w:rsidRDefault="00B11E48" w:rsidP="00B1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Uważność a problemy kliniczne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Self-compassion</w:t>
            </w:r>
            <w:proofErr w:type="spellEnd"/>
            <w:r w:rsidRPr="009A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Self-compassion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 a funkcjonowanie psychiczne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Self-compassion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 a bliskie relacje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Self-compassion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 a problemy kliniczne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Self-compassion</w:t>
            </w:r>
            <w:proofErr w:type="spellEnd"/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 a osobowość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z zakresu seksuologii: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Satysfakcja seksualna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Literatura romantyczna a funkcjonowanie psychoseksualne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 xml:space="preserve">• Relacje </w:t>
            </w:r>
            <w:proofErr w:type="spellStart"/>
            <w:r w:rsidRPr="009A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friends</w:t>
            </w:r>
            <w:proofErr w:type="spellEnd"/>
            <w:r w:rsidRPr="009A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with </w:t>
            </w:r>
            <w:proofErr w:type="spellStart"/>
            <w:r w:rsidRPr="009A66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benefits</w:t>
            </w:r>
            <w:proofErr w:type="spellEnd"/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Publiczne okazywanie uczuć w romantycznym związku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Publiczne okazywanie uczuć a osobowość</w:t>
            </w:r>
          </w:p>
          <w:p w:rsidR="00B11E48" w:rsidRPr="009A66F0" w:rsidRDefault="00B11E48" w:rsidP="00B11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Publiczne okazywanie uczuć a poglądy społeczne</w:t>
            </w:r>
          </w:p>
          <w:p w:rsidR="00B11E48" w:rsidRPr="009A66F0" w:rsidRDefault="00B11E48" w:rsidP="00B11E48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• Publiczne okazywanie uczuć a różnice kulturowe</w:t>
            </w:r>
          </w:p>
        </w:tc>
      </w:tr>
      <w:tr w:rsidR="002C2A41" w:rsidRPr="009A66F0" w:rsidTr="002C2A41">
        <w:trPr>
          <w:trHeight w:val="691"/>
        </w:trPr>
        <w:tc>
          <w:tcPr>
            <w:tcW w:w="2235" w:type="dxa"/>
            <w:vAlign w:val="center"/>
          </w:tcPr>
          <w:p w:rsidR="002C2A41" w:rsidRPr="009A66F0" w:rsidRDefault="002C2A41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dr Magdalena </w:t>
            </w:r>
            <w:proofErr w:type="spellStart"/>
            <w:r w:rsidRPr="009A66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Rode</w:t>
            </w:r>
            <w:proofErr w:type="spellEnd"/>
          </w:p>
        </w:tc>
        <w:tc>
          <w:tcPr>
            <w:tcW w:w="6803" w:type="dxa"/>
            <w:vAlign w:val="center"/>
          </w:tcPr>
          <w:p w:rsidR="004478F1" w:rsidRPr="009A66F0" w:rsidRDefault="004478F1" w:rsidP="004478F1">
            <w:pPr>
              <w:pStyle w:val="opis"/>
              <w:rPr>
                <w:rFonts w:ascii="Times New Roman" w:hAnsi="Times New Roman"/>
                <w:iCs/>
                <w:sz w:val="20"/>
                <w:szCs w:val="20"/>
              </w:rPr>
            </w:pPr>
            <w:r w:rsidRPr="009A66F0">
              <w:rPr>
                <w:rFonts w:ascii="Times New Roman" w:hAnsi="Times New Roman"/>
                <w:iCs/>
                <w:sz w:val="20"/>
                <w:szCs w:val="20"/>
              </w:rPr>
              <w:t xml:space="preserve">Przedmiotem badań w ramach prowadzonego seminarium jest analiza zachowania człowieka funkcjonującego w szeroko rozumianej normie zdrowia psychicznego oraz naruszającego normy prawne (od wykroczeń do czynu karalnego). Celem podjętych badań jest określenie osobowościowych, </w:t>
            </w:r>
            <w:proofErr w:type="spellStart"/>
            <w:r w:rsidRPr="009A66F0">
              <w:rPr>
                <w:rFonts w:ascii="Times New Roman" w:hAnsi="Times New Roman"/>
                <w:iCs/>
                <w:sz w:val="20"/>
                <w:szCs w:val="20"/>
              </w:rPr>
              <w:t>temperamentalnych</w:t>
            </w:r>
            <w:proofErr w:type="spellEnd"/>
            <w:r w:rsidRPr="009A66F0">
              <w:rPr>
                <w:rFonts w:ascii="Times New Roman" w:hAnsi="Times New Roman"/>
                <w:iCs/>
                <w:sz w:val="20"/>
                <w:szCs w:val="20"/>
              </w:rPr>
              <w:t xml:space="preserve"> oraz sytuacyjnych wyznaczników zachowań jednostki i grupy.</w:t>
            </w:r>
          </w:p>
          <w:p w:rsidR="004478F1" w:rsidRPr="009A66F0" w:rsidRDefault="004478F1" w:rsidP="004478F1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iCs/>
                <w:sz w:val="20"/>
                <w:szCs w:val="20"/>
              </w:rPr>
              <w:t xml:space="preserve">Zostanie uporządkowana wiedza o funkcjonowaniu człowieka, grupy, w tym rodziny w różnych obszarach działania. Proponowane </w:t>
            </w:r>
            <w:r w:rsidRPr="009A66F0">
              <w:rPr>
                <w:rFonts w:ascii="Times New Roman" w:hAnsi="Times New Roman"/>
                <w:sz w:val="20"/>
                <w:szCs w:val="20"/>
              </w:rPr>
              <w:t xml:space="preserve">treści szczegółowe: </w:t>
            </w:r>
          </w:p>
          <w:p w:rsidR="004478F1" w:rsidRPr="009A66F0" w:rsidRDefault="004478F1" w:rsidP="004478F1">
            <w:pPr>
              <w:pStyle w:val="opis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Osobowość i sytuacja jako tło motywacyjne zachowania. </w:t>
            </w:r>
          </w:p>
          <w:p w:rsidR="004478F1" w:rsidRPr="009A66F0" w:rsidRDefault="004478F1" w:rsidP="004478F1">
            <w:pPr>
              <w:pStyle w:val="opis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Psychologiczne determinanty zachowań. </w:t>
            </w:r>
          </w:p>
          <w:p w:rsidR="004478F1" w:rsidRPr="009A66F0" w:rsidRDefault="004478F1" w:rsidP="004478F1">
            <w:pPr>
              <w:pStyle w:val="opis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66F0">
              <w:rPr>
                <w:rFonts w:ascii="Times New Roman" w:hAnsi="Times New Roman"/>
                <w:b/>
                <w:i/>
                <w:sz w:val="20"/>
                <w:szCs w:val="20"/>
              </w:rPr>
              <w:t>Przykłady problemów badawczych (nie propozycje tematu pracy):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Czynniki ochronne zdrowia psychicznego człowieka.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Psychologia zdrady. 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Samotność w związku partnerskim.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Seksualne poszukiwanie doznań jako czynnik ryzyka przestępstw seksualnych.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Narcyzm i psychopatia jako osobowościowe wyznaczniki zachowania jednostki. 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Temperament i samokontrola a uruchamianie zniekształceń poznawczych (stylów myślenia przestępczego) predestynujących do łamania norm prawnych.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 xml:space="preserve">Rola systemu poznawczego w rozwoju zachowań przestępczych. 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Człowiek w sytuacji stresu. Stres spowodowany rozwodem, chorobą, sytuacjami traumatyzującymi – gwałt, napaść itd.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Psychopatologia przywiązania</w:t>
            </w:r>
            <w:r w:rsidRPr="009A66F0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9A66F0">
              <w:rPr>
                <w:rFonts w:ascii="Times New Roman" w:hAnsi="Times New Roman"/>
                <w:i/>
                <w:sz w:val="20"/>
                <w:szCs w:val="20"/>
              </w:rPr>
              <w:t>attachment</w:t>
            </w:r>
            <w:proofErr w:type="spellEnd"/>
            <w:r w:rsidRPr="009A66F0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9A66F0">
              <w:rPr>
                <w:rFonts w:ascii="Times New Roman" w:hAnsi="Times New Roman"/>
                <w:sz w:val="20"/>
                <w:szCs w:val="20"/>
              </w:rPr>
              <w:t xml:space="preserve">jako wyznacznik relacji w bliskich związkach partnerskich. 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Psychospołeczne funkcjonowanie osób dorosłych z zaburzeniami emocjonalnymi.</w:t>
            </w:r>
          </w:p>
          <w:p w:rsidR="004478F1" w:rsidRPr="009A66F0" w:rsidRDefault="004478F1" w:rsidP="009A66F0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sz w:val="20"/>
                <w:szCs w:val="20"/>
              </w:rPr>
              <w:t>Zaburzenia osobowości a relacje interpersonalne w systemie rodzinnym i pozarodzinnym.</w:t>
            </w:r>
          </w:p>
          <w:p w:rsidR="004478F1" w:rsidRPr="009A66F0" w:rsidRDefault="004478F1" w:rsidP="004478F1">
            <w:pPr>
              <w:pStyle w:val="opis"/>
              <w:rPr>
                <w:rFonts w:ascii="Times New Roman" w:hAnsi="Times New Roman"/>
                <w:sz w:val="20"/>
                <w:szCs w:val="20"/>
              </w:rPr>
            </w:pPr>
          </w:p>
          <w:p w:rsidR="002C2A41" w:rsidRPr="009A66F0" w:rsidRDefault="002C2A41" w:rsidP="001974B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2A41" w:rsidRPr="009A66F0" w:rsidTr="002C2A41">
        <w:trPr>
          <w:trHeight w:val="691"/>
        </w:trPr>
        <w:tc>
          <w:tcPr>
            <w:tcW w:w="2235" w:type="dxa"/>
            <w:vAlign w:val="center"/>
          </w:tcPr>
          <w:p w:rsidR="002C2A41" w:rsidRPr="009A66F0" w:rsidRDefault="002C2A41" w:rsidP="002C2A41">
            <w:pPr>
              <w:pStyle w:val="Akapitzlist"/>
              <w:widowControl w:val="0"/>
              <w:spacing w:before="0" w:after="0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66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 Maciej </w:t>
            </w:r>
            <w:r w:rsidRPr="009A66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Bożek</w:t>
            </w:r>
          </w:p>
        </w:tc>
        <w:tc>
          <w:tcPr>
            <w:tcW w:w="6803" w:type="dxa"/>
            <w:vAlign w:val="center"/>
          </w:tcPr>
          <w:p w:rsidR="008A21CE" w:rsidRPr="009A66F0" w:rsidRDefault="008A21CE" w:rsidP="008A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Seminarium dotyczy nowego spojrzenia na tematy ogniskujące uwagę psychologii sądowej w ostatnim</w:t>
            </w:r>
            <w:r w:rsidR="009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dziesięcioleciu. Student ma możliwość realizowania badań dotyczących problematyki charakterystycznej dla</w:t>
            </w:r>
          </w:p>
          <w:p w:rsidR="008A21CE" w:rsidRPr="009A66F0" w:rsidRDefault="008A21CE" w:rsidP="008A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psychologii prawa, kryminalnej, sądowej oraz resocjalizacyjnej.</w:t>
            </w:r>
          </w:p>
          <w:p w:rsidR="008A21CE" w:rsidRPr="009A66F0" w:rsidRDefault="008A21CE" w:rsidP="008A2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Przykładowo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prace mogą dotyczyć, zarówno psychologicznych podstaw respektowania prawa,</w:t>
            </w:r>
            <w:r w:rsidR="009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profilowania psychologicznego za pośrednictwem nowych mediów społecznościowych, procesu</w:t>
            </w:r>
            <w:r w:rsidR="009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analitycznego prokuratorów podczas czynności okazania czy reintegracji społecznej więźniów, którzy</w:t>
            </w:r>
            <w:r w:rsidR="009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zakończyli proces odbywania kary. Ważnym elementem seminarium jest dowolność wyboru tematu. Temat</w:t>
            </w:r>
            <w:r w:rsidR="009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ma dotyczyć obszaru psychologii sądowej, ale jednocześnie ma być wyrazem indywidualnego</w:t>
            </w:r>
            <w:r w:rsidR="009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zainteresowania seminarzysty.</w:t>
            </w:r>
          </w:p>
          <w:p w:rsidR="002C2A41" w:rsidRPr="009A66F0" w:rsidRDefault="008A21CE" w:rsidP="009A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Badania i prace powstałe na ich podstawie mogą mieć charakter badań mieszanych. Seminarium</w:t>
            </w:r>
            <w:r w:rsidR="009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otwiera krótki kurs metodologii badań jakościowych, który umożliwia studentom decyzję</w:t>
            </w:r>
            <w:r w:rsidR="009A6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6F0">
              <w:rPr>
                <w:rFonts w:ascii="Times New Roman" w:hAnsi="Times New Roman" w:cs="Times New Roman"/>
                <w:sz w:val="20"/>
                <w:szCs w:val="20"/>
              </w:rPr>
              <w:t>dotyczącą charakteru ich pracy dyplomowej.</w:t>
            </w:r>
          </w:p>
        </w:tc>
      </w:tr>
    </w:tbl>
    <w:p w:rsidR="002C2A41" w:rsidRDefault="002C2A41" w:rsidP="002C2A41">
      <w:pPr>
        <w:spacing w:after="240"/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pl-PL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2C2A41" w:rsidRDefault="002C2A41" w:rsidP="002C2A41"/>
    <w:sectPr w:rsidR="002C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F70"/>
    <w:multiLevelType w:val="hybridMultilevel"/>
    <w:tmpl w:val="E7CC01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6AA5"/>
    <w:multiLevelType w:val="multilevel"/>
    <w:tmpl w:val="10CA9A5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74820C6"/>
    <w:multiLevelType w:val="hybridMultilevel"/>
    <w:tmpl w:val="FE34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4D63"/>
    <w:multiLevelType w:val="hybridMultilevel"/>
    <w:tmpl w:val="21E2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3BA0"/>
    <w:multiLevelType w:val="multilevel"/>
    <w:tmpl w:val="5F84A2A8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D2A430E"/>
    <w:multiLevelType w:val="hybridMultilevel"/>
    <w:tmpl w:val="E244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04CA2"/>
    <w:multiLevelType w:val="hybridMultilevel"/>
    <w:tmpl w:val="9CF4B6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13275"/>
    <w:multiLevelType w:val="multilevel"/>
    <w:tmpl w:val="E3D604F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1A148CA"/>
    <w:multiLevelType w:val="hybridMultilevel"/>
    <w:tmpl w:val="F314D3CA"/>
    <w:lvl w:ilvl="0" w:tplc="8226943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D6FDC"/>
    <w:multiLevelType w:val="hybridMultilevel"/>
    <w:tmpl w:val="1EFE562A"/>
    <w:lvl w:ilvl="0" w:tplc="846491F0">
      <w:start w:val="1"/>
      <w:numFmt w:val="bullet"/>
      <w:lvlText w:val="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DeyMDQyt7QwszRW0lEKTi0uzszPAykwrAUABQGwVCwAAAA="/>
  </w:docVars>
  <w:rsids>
    <w:rsidRoot w:val="00080D1B"/>
    <w:rsid w:val="00062078"/>
    <w:rsid w:val="00080D1B"/>
    <w:rsid w:val="0012731E"/>
    <w:rsid w:val="001B445E"/>
    <w:rsid w:val="002B2FC0"/>
    <w:rsid w:val="002C2A41"/>
    <w:rsid w:val="004478F1"/>
    <w:rsid w:val="00641530"/>
    <w:rsid w:val="006E1836"/>
    <w:rsid w:val="006F3839"/>
    <w:rsid w:val="00745A6D"/>
    <w:rsid w:val="00776801"/>
    <w:rsid w:val="00885B8F"/>
    <w:rsid w:val="008A21CE"/>
    <w:rsid w:val="009A66F0"/>
    <w:rsid w:val="00B11E48"/>
    <w:rsid w:val="00CC1877"/>
    <w:rsid w:val="00CC5898"/>
    <w:rsid w:val="00CC7583"/>
    <w:rsid w:val="00D15025"/>
    <w:rsid w:val="00DC0D06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FCF5-591D-4589-8FAD-A43B3D2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A4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A41"/>
    <w:pPr>
      <w:spacing w:before="120" w:after="120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2C2A41"/>
  </w:style>
  <w:style w:type="paragraph" w:customStyle="1" w:styleId="opis">
    <w:name w:val="opis"/>
    <w:basedOn w:val="Normalny"/>
    <w:rsid w:val="004478F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</cp:lastModifiedBy>
  <cp:revision>2</cp:revision>
  <dcterms:created xsi:type="dcterms:W3CDTF">2021-06-11T06:57:00Z</dcterms:created>
  <dcterms:modified xsi:type="dcterms:W3CDTF">2021-06-11T06:57:00Z</dcterms:modified>
</cp:coreProperties>
</file>